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ind w:left="142"/>
        <w:rPr>
          <w:rFonts w:ascii="Cambria" w:hAnsi="Cambria" w:asciiTheme="majorHAnsi" w:hAnsiTheme="majorHAnsi"/>
          <w:b/>
          <w:caps/>
        </w:rPr>
      </w:pPr>
      <w:r>
        <w:rPr>
          <w:rFonts w:ascii="Cambria" w:hAnsi="Cambria" w:asciiTheme="majorHAnsi" w:hAnsiTheme="majorHAnsi"/>
          <w:b/>
          <w:caps/>
        </w:rPr>
        <w:t>UG.0050.10.2026</w:t>
      </w:r>
    </w:p>
    <w:p>
      <w:pPr>
        <w:pStyle w:val="Normal"/>
        <w:spacing w:lineRule="auto" w:line="276"/>
        <w:ind w:left="142"/>
        <w:jc w:val="center"/>
        <w:rPr>
          <w:rFonts w:ascii="Cambria" w:hAnsi="Cambria" w:asciiTheme="majorHAnsi" w:hAnsiTheme="majorHAnsi"/>
          <w:b/>
          <w:caps/>
        </w:rPr>
      </w:pPr>
      <w:r>
        <w:rPr>
          <w:rFonts w:ascii="Cambria" w:hAnsi="Cambria" w:asciiTheme="majorHAnsi" w:hAnsiTheme="majorHAnsi"/>
          <w:b/>
          <w:caps/>
        </w:rPr>
        <w:t>Zarządzenie nr 10/2026</w:t>
        <w:br/>
        <w:t>Wójta Gminy GOrzKOWCE</w:t>
      </w:r>
    </w:p>
    <w:p>
      <w:pPr>
        <w:pStyle w:val="Normal"/>
        <w:spacing w:lineRule="auto" w:line="276"/>
        <w:ind w:left="142"/>
        <w:jc w:val="center"/>
        <w:rPr>
          <w:rFonts w:ascii="Cambria" w:hAnsi="Cambria" w:asciiTheme="majorHAnsi" w:hAnsiTheme="majorHAnsi"/>
        </w:rPr>
      </w:pPr>
      <w:r>
        <w:rPr>
          <w:rFonts w:ascii="Cambria" w:hAnsi="Cambria" w:asciiTheme="majorHAnsi" w:hAnsiTheme="majorHAnsi"/>
        </w:rPr>
        <w:t>z dnia 29 stycznia 2026 r.</w:t>
      </w:r>
    </w:p>
    <w:p>
      <w:pPr>
        <w:pStyle w:val="Normal"/>
        <w:spacing w:lineRule="auto" w:line="276"/>
        <w:ind w:left="142"/>
        <w:jc w:val="center"/>
        <w:rPr>
          <w:rFonts w:ascii="Cambria" w:hAnsi="Cambria" w:asciiTheme="majorHAnsi" w:hAnsiTheme="majorHAnsi"/>
          <w:b/>
          <w:caps/>
        </w:rPr>
      </w:pPr>
      <w:r>
        <w:rPr>
          <w:rFonts w:asciiTheme="majorHAnsi" w:hAnsiTheme="majorHAnsi" w:ascii="Cambria" w:hAnsi="Cambria"/>
          <w:b/>
          <w:caps/>
        </w:rPr>
      </w:r>
    </w:p>
    <w:p>
      <w:pPr>
        <w:pStyle w:val="Normal"/>
        <w:keepNext w:val="true"/>
        <w:spacing w:lineRule="auto" w:line="276"/>
        <w:ind w:left="142"/>
        <w:jc w:val="center"/>
        <w:rPr>
          <w:rFonts w:ascii="Cambria" w:hAnsi="Cambria" w:asciiTheme="majorHAnsi" w:hAnsiTheme="majorHAnsi"/>
          <w:b/>
        </w:rPr>
      </w:pPr>
      <w:r>
        <w:rPr>
          <w:rFonts w:ascii="Cambria" w:hAnsi="Cambria" w:asciiTheme="majorHAnsi" w:hAnsiTheme="majorHAnsi"/>
          <w:b/>
        </w:rPr>
        <w:t>w sprawie regulaminu udzielania zamówień publicznych o wartości szacunkowej</w:t>
        <w:br/>
        <w:t>poniżej kwoty 170 000 złotych</w:t>
      </w:r>
    </w:p>
    <w:p>
      <w:pPr>
        <w:pStyle w:val="Normal"/>
        <w:keepNext w:val="true"/>
        <w:spacing w:lineRule="auto" w:line="276"/>
        <w:ind w:left="142"/>
        <w:jc w:val="center"/>
        <w:rPr>
          <w:rFonts w:ascii="Cambria" w:hAnsi="Cambria" w:asciiTheme="majorHAnsi" w:hAnsiTheme="majorHAnsi"/>
        </w:rPr>
      </w:pPr>
      <w:r>
        <w:rPr>
          <w:rFonts w:asciiTheme="majorHAnsi" w:hAnsiTheme="majorHAnsi" w:ascii="Cambria" w:hAnsi="Cambria"/>
        </w:rPr>
      </w:r>
    </w:p>
    <w:p>
      <w:pPr>
        <w:pStyle w:val="Normal"/>
        <w:keepNext w:val="true"/>
        <w:keepLines/>
        <w:spacing w:lineRule="auto" w:line="276"/>
        <w:ind w:firstLine="227" w:left="142"/>
        <w:rPr>
          <w:rFonts w:ascii="Cambria" w:hAnsi="Cambria" w:asciiTheme="majorHAnsi" w:hAnsiTheme="majorHAnsi"/>
        </w:rPr>
      </w:pPr>
      <w:r>
        <w:rPr>
          <w:rFonts w:ascii="Cambria" w:hAnsi="Cambria" w:asciiTheme="majorHAnsi" w:hAnsiTheme="majorHAnsi"/>
        </w:rPr>
        <w:t>Na podstawie art. 60 ust. 1 ustawy z dnia 8 marca 1990 r. o samorządzie gminnym  (Dz. U. z 2025 r. poz. 1153 ze zm.) w związku z art. 44 ustawy z dnia 27 sierpnia 2009 r. o finansach publicznych (Dz. U. z 2025, poz. 1483 ze. zm.)</w:t>
      </w:r>
    </w:p>
    <w:p>
      <w:pPr>
        <w:pStyle w:val="Normal"/>
        <w:keepNext w:val="true"/>
        <w:keepLines/>
        <w:spacing w:lineRule="auto" w:line="276"/>
        <w:ind w:firstLine="227" w:left="142"/>
        <w:rPr>
          <w:rFonts w:ascii="Cambria" w:hAnsi="Cambria" w:asciiTheme="majorHAnsi" w:hAnsiTheme="majorHAnsi"/>
        </w:rPr>
      </w:pPr>
      <w:r>
        <w:rPr>
          <w:rFonts w:asciiTheme="majorHAnsi" w:hAnsiTheme="majorHAnsi" w:ascii="Cambria" w:hAnsi="Cambria"/>
        </w:rPr>
      </w:r>
    </w:p>
    <w:p>
      <w:pPr>
        <w:pStyle w:val="Normal"/>
        <w:spacing w:lineRule="auto" w:line="276"/>
        <w:ind w:left="142"/>
        <w:jc w:val="center"/>
        <w:rPr>
          <w:rFonts w:ascii="Cambria" w:hAnsi="Cambria" w:asciiTheme="majorHAnsi" w:hAnsiTheme="majorHAnsi"/>
          <w:b/>
          <w:color w:val="000000"/>
          <w:u w:val="none" w:color="000000"/>
        </w:rPr>
      </w:pPr>
      <w:r>
        <w:rPr>
          <w:rFonts w:ascii="Cambria" w:hAnsi="Cambria" w:asciiTheme="majorHAnsi" w:hAnsiTheme="majorHAnsi"/>
          <w:b/>
          <w:i/>
        </w:rPr>
        <w:t>zarządzam, co następuje:</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1. </w:t>
      </w:r>
      <w:r>
        <w:rPr>
          <w:rFonts w:ascii="Cambria" w:hAnsi="Cambria" w:asciiTheme="majorHAnsi" w:hAnsiTheme="majorHAnsi"/>
          <w:color w:val="000000"/>
          <w:u w:val="none" w:color="000000"/>
        </w:rPr>
        <w:t xml:space="preserve">Ustalam  </w:t>
      </w:r>
      <w:r>
        <w:rPr>
          <w:rFonts w:ascii="Cambria" w:hAnsi="Cambria" w:asciiTheme="majorHAnsi" w:hAnsiTheme="majorHAnsi"/>
          <w:b/>
          <w:color w:val="000000"/>
          <w:u w:val="none" w:color="000000"/>
        </w:rPr>
        <w:t xml:space="preserve">„Regulamin udzielania zamówień publicznych o wartości szacunkowej poniżej kwoty 170 000 złotych” </w:t>
      </w:r>
      <w:r>
        <w:rPr>
          <w:rFonts w:ascii="Cambria" w:hAnsi="Cambria" w:asciiTheme="majorHAnsi" w:hAnsiTheme="majorHAnsi"/>
          <w:color w:val="000000"/>
          <w:u w:val="none" w:color="000000"/>
        </w:rPr>
        <w:t>w brzmieniu stanowiącym załącznik do niniejszego Zarządzenia.</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Theme="majorHAnsi" w:hAnsiTheme="majorHAnsi" w:ascii="Cambria" w:hAnsi="Cambria"/>
          <w:color w:val="000000"/>
          <w:u w:val="none" w:color="000000"/>
        </w:rPr>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2. </w:t>
      </w:r>
      <w:r>
        <w:rPr>
          <w:rFonts w:ascii="Cambria" w:hAnsi="Cambria" w:asciiTheme="majorHAnsi" w:hAnsiTheme="majorHAnsi"/>
          <w:color w:val="000000"/>
          <w:u w:val="none" w:color="000000"/>
        </w:rPr>
        <w:t>Zobowiązuję pracowników Urzędu Gminy w Gorzkowicach do zapoznania się z treścią niniejszego zarządzenia oraz stosowania unormowań w nim zawartych.</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Theme="majorHAnsi" w:hAnsiTheme="majorHAnsi" w:ascii="Cambria" w:hAnsi="Cambria"/>
          <w:color w:val="000000"/>
          <w:u w:val="none" w:color="000000"/>
        </w:rPr>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3. </w:t>
      </w:r>
      <w:r>
        <w:rPr>
          <w:rFonts w:ascii="Cambria" w:hAnsi="Cambria" w:asciiTheme="majorHAnsi" w:hAnsiTheme="majorHAnsi"/>
          <w:color w:val="000000"/>
          <w:u w:val="none" w:color="000000"/>
        </w:rPr>
        <w:t>Wykonanie zarządzenia powierza się Sekretarzowi Gminy, kierownikom referatów oraz samodzielnym stanowiskom pracy Urzędu Gminy w Gorzkowicach.</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Theme="majorHAnsi" w:hAnsiTheme="majorHAnsi" w:ascii="Cambria" w:hAnsi="Cambria"/>
          <w:color w:val="000000"/>
          <w:u w:val="none" w:color="000000"/>
        </w:rPr>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4. </w:t>
      </w:r>
      <w:r>
        <w:rPr>
          <w:rFonts w:ascii="Cambria" w:hAnsi="Cambria" w:asciiTheme="majorHAnsi" w:hAnsiTheme="majorHAnsi"/>
          <w:color w:val="000000"/>
          <w:u w:val="none" w:color="000000"/>
        </w:rPr>
        <w:t>Traci moc Zarządzenie Nr 1/2021 z dnia 4 stycznia 2021r. Wójta Gminy Gorzkowice w sprawie regulaminu udzielania zamówień publicznych o wartości nie przekraczającej</w:t>
      </w:r>
      <w:r>
        <w:rPr>
          <w:rFonts w:ascii="Cambria" w:hAnsi="Cambria" w:asciiTheme="majorHAnsi" w:hAnsiTheme="majorHAnsi"/>
          <w:b/>
          <w:color w:val="000000"/>
          <w:u w:val="none" w:color="000000"/>
        </w:rPr>
        <w:t xml:space="preserve"> </w:t>
      </w:r>
      <w:r>
        <w:rPr>
          <w:rFonts w:ascii="Cambria" w:hAnsi="Cambria" w:asciiTheme="majorHAnsi" w:hAnsiTheme="majorHAnsi"/>
          <w:color w:val="000000"/>
          <w:u w:val="none" w:color="000000"/>
        </w:rPr>
        <w:t>130 000 złotych.</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Theme="majorHAnsi" w:hAnsiTheme="majorHAnsi" w:ascii="Cambria" w:hAnsi="Cambria"/>
          <w:color w:val="000000"/>
          <w:u w:val="none" w:color="000000"/>
        </w:rPr>
      </w:r>
    </w:p>
    <w:p>
      <w:pPr>
        <w:pStyle w:val="Normal"/>
        <w:keepNext w:val="true"/>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5. </w:t>
      </w:r>
      <w:r>
        <w:rPr>
          <w:rFonts w:ascii="Cambria" w:hAnsi="Cambria" w:asciiTheme="majorHAnsi" w:hAnsiTheme="majorHAnsi"/>
          <w:color w:val="000000"/>
          <w:u w:val="none" w:color="000000"/>
        </w:rPr>
        <w:t>Zarządzenie wchodzi w życie z dniem podpisania.</w:t>
      </w:r>
    </w:p>
    <w:p>
      <w:pPr>
        <w:pStyle w:val="Normal"/>
        <w:keepNext w:val="true"/>
        <w:keepLines/>
        <w:spacing w:lineRule="auto" w:line="276"/>
        <w:ind w:firstLine="340" w:left="142"/>
        <w:jc w:val="both"/>
        <w:rPr>
          <w:rFonts w:ascii="Cambria" w:hAnsi="Cambria" w:asciiTheme="majorHAnsi" w:hAnsiTheme="majorHAnsi"/>
          <w:color w:val="000000"/>
          <w:u w:val="none" w:color="000000"/>
        </w:rPr>
      </w:pPr>
      <w:r>
        <w:rPr>
          <w:rFonts w:asciiTheme="majorHAnsi" w:hAnsiTheme="majorHAnsi" w:ascii="Cambria" w:hAnsi="Cambria"/>
          <w:color w:val="000000"/>
          <w:u w:val="none" w:color="000000"/>
        </w:rPr>
      </w:r>
    </w:p>
    <w:p>
      <w:pPr>
        <w:pStyle w:val="Normal"/>
        <w:keepNext w:val="true"/>
        <w:spacing w:lineRule="auto" w:line="276"/>
        <w:ind w:left="142"/>
        <w:rPr>
          <w:rFonts w:ascii="Cambria" w:hAnsi="Cambria" w:asciiTheme="majorHAnsi" w:hAnsiTheme="majorHAnsi"/>
          <w:color w:val="000000"/>
          <w:u w:val="none" w:color="000000"/>
        </w:rPr>
      </w:pPr>
      <w:r>
        <w:rPr>
          <w:rFonts w:ascii="Cambria" w:hAnsi="Cambria" w:asciiTheme="majorHAnsi" w:hAnsiTheme="majorHAnsi"/>
          <w:color w:val="000000"/>
        </w:rPr>
        <w:t> </w:t>
      </w:r>
    </w:p>
    <w:tbl>
      <w:tblPr>
        <w:tblW w:w="5000" w:type="pct"/>
        <w:jc w:val="left"/>
        <w:tblInd w:w="0" w:type="dxa"/>
        <w:tblLayout w:type="fixed"/>
        <w:tblCellMar>
          <w:top w:w="0" w:type="dxa"/>
          <w:left w:w="0" w:type="dxa"/>
          <w:bottom w:w="0" w:type="dxa"/>
          <w:right w:w="0" w:type="dxa"/>
        </w:tblCellMar>
        <w:tblLook w:firstRow="1" w:noVBand="1" w:lastRow="0" w:firstColumn="1" w:lastColumn="0" w:noHBand="0" w:val="04a0"/>
      </w:tblPr>
      <w:tblGrid>
        <w:gridCol w:w="4932"/>
        <w:gridCol w:w="4933"/>
      </w:tblGrid>
      <w:tr>
        <w:trPr/>
        <w:tc>
          <w:tcPr>
            <w:tcW w:w="4932" w:type="dxa"/>
            <w:tcBorders/>
          </w:tcPr>
          <w:p>
            <w:pPr>
              <w:pStyle w:val="Normal"/>
              <w:keepNext w:val="true"/>
              <w:keepLines/>
              <w:spacing w:lineRule="auto" w:line="276"/>
              <w:ind w:left="142"/>
              <w:rPr>
                <w:rFonts w:ascii="Cambria" w:hAnsi="Cambria" w:asciiTheme="majorHAnsi" w:hAnsiTheme="majorHAnsi"/>
                <w:color w:val="000000"/>
              </w:rPr>
            </w:pPr>
            <w:r>
              <w:rPr>
                <w:rFonts w:asciiTheme="majorHAnsi" w:hAnsiTheme="majorHAnsi" w:ascii="Cambria" w:hAnsi="Cambria"/>
                <w:color w:val="000000"/>
              </w:rPr>
            </w:r>
          </w:p>
        </w:tc>
        <w:tc>
          <w:tcPr>
            <w:tcW w:w="4933" w:type="dxa"/>
            <w:tcBorders/>
          </w:tcPr>
          <w:p>
            <w:pPr>
              <w:pStyle w:val="Normal"/>
              <w:keepNext w:val="true"/>
              <w:keepLines/>
              <w:spacing w:lineRule="auto" w:line="276"/>
              <w:ind w:left="142"/>
              <w:jc w:val="center"/>
              <w:rPr>
                <w:rFonts w:ascii="Cambria" w:hAnsi="Cambria" w:asciiTheme="majorHAnsi" w:hAnsiTheme="majorHAnsi"/>
                <w:color w:val="000000"/>
              </w:rPr>
            </w:pPr>
            <w:r>
              <w:rPr>
                <w:rFonts w:ascii="Cambria" w:hAnsi="Cambria" w:asciiTheme="majorHAnsi" w:hAnsiTheme="majorHAnsi"/>
                <w:color w:val="000000"/>
              </w:rPr>
              <w:t>Wójt Gminy Gorzkowice</w:t>
              <w:br/>
              <w:br/>
            </w:r>
            <w:r>
              <w:rPr>
                <w:rFonts w:ascii="Cambria" w:hAnsi="Cambria" w:asciiTheme="majorHAnsi" w:hAnsiTheme="majorHAnsi"/>
                <w:b/>
              </w:rPr>
              <w:t>Alojzy Włodarczyk</w:t>
            </w:r>
          </w:p>
        </w:tc>
      </w:tr>
    </w:tbl>
    <w:p>
      <w:pPr>
        <w:sectPr>
          <w:footerReference w:type="even" r:id="rId2"/>
          <w:footerReference w:type="default" r:id="rId3"/>
          <w:footerReference w:type="first" r:id="rId4"/>
          <w:type w:val="nextPage"/>
          <w:pgSz w:w="11906" w:h="16838"/>
          <w:pgMar w:left="1020" w:right="1020" w:gutter="0" w:header="0" w:top="567" w:footer="708" w:bottom="765"/>
          <w:pgNumType w:fmt="decimal"/>
          <w:formProt w:val="false"/>
          <w:textDirection w:val="lrTb"/>
          <w:docGrid w:type="default" w:linePitch="360" w:charSpace="0"/>
        </w:sectPr>
      </w:pPr>
    </w:p>
    <w:p>
      <w:pPr>
        <w:pStyle w:val="Normal"/>
        <w:keepNext w:val="true"/>
        <w:spacing w:lineRule="auto" w:line="276"/>
        <w:ind w:left="5670"/>
        <w:rPr>
          <w:rFonts w:ascii="Cambria" w:hAnsi="Cambria" w:asciiTheme="majorHAnsi" w:hAnsiTheme="majorHAnsi"/>
          <w:color w:val="000000"/>
          <w:u w:val="none" w:color="000000"/>
        </w:rPr>
      </w:pPr>
      <w:r>
        <w:fldChar w:fldCharType="begin"/>
      </w:r>
      <w:r>
        <w:rPr>
          <w:u w:val="none" w:color="000000"/>
          <w:rFonts w:ascii="Cambria" w:hAnsi="Cambria"/>
          <w:color w:val="000000"/>
        </w:rPr>
      </w:r>
      <w:r>
        <w:rPr>
          <w:rFonts w:ascii="Cambria" w:hAnsi="Cambria" w:asciiTheme="majorHAnsi" w:hAnsiTheme="majorHAnsi"/>
          <w:color w:val="000000"/>
          <w:u w:val="none" w:color="000000"/>
        </w:rPr>
      </w:r>
      <w:r>
        <w:rPr>
          <w:u w:val="none" w:color="000000"/>
          <w:rFonts w:ascii="Cambria" w:hAnsi="Cambria"/>
          <w:color w:val="000000"/>
        </w:rPr>
        <w:fldChar w:fldCharType="separate"/>
      </w:r>
      <w:r>
        <w:rPr>
          <w:rFonts w:ascii="Cambria" w:hAnsi="Cambria" w:asciiTheme="majorHAnsi" w:hAnsiTheme="majorHAnsi"/>
          <w:color w:val="000000"/>
          <w:u w:val="none" w:color="000000"/>
        </w:rPr>
      </w:r>
      <w:r>
        <w:rPr>
          <w:rFonts w:ascii="Cambria" w:hAnsi="Cambria" w:asciiTheme="majorHAnsi" w:hAnsiTheme="majorHAnsi"/>
          <w:color w:val="000000"/>
          <w:u w:val="none" w:color="000000"/>
        </w:rPr>
      </w:r>
      <w:r>
        <w:rPr>
          <w:u w:val="none" w:color="000000"/>
          <w:rFonts w:ascii="Cambria" w:hAnsi="Cambria"/>
          <w:color w:val="000000"/>
        </w:rPr>
        <w:fldChar w:fldCharType="end"/>
      </w:r>
      <w:r>
        <w:rPr>
          <w:rFonts w:ascii="Cambria" w:hAnsi="Cambria" w:asciiTheme="majorHAnsi" w:hAnsiTheme="majorHAnsi"/>
          <w:color w:val="000000"/>
          <w:u w:val="none" w:color="000000"/>
        </w:rPr>
        <w:t>Załącznik do Zarządzenia nr 10/2026</w:t>
        <w:br/>
        <w:t>Wójta Gminy Gorzkowice</w:t>
        <w:br/>
        <w:t>z dnia 29 stycznia 2026 r.</w:t>
      </w:r>
    </w:p>
    <w:p>
      <w:pPr>
        <w:pStyle w:val="Normal"/>
        <w:keepNext w:val="true"/>
        <w:spacing w:lineRule="auto" w:line="276"/>
        <w:ind w:left="142"/>
        <w:rPr>
          <w:rFonts w:ascii="Cambria" w:hAnsi="Cambria" w:asciiTheme="majorHAnsi" w:hAnsiTheme="majorHAnsi"/>
          <w:color w:val="000000"/>
          <w:u w:val="none" w:color="000000"/>
        </w:rPr>
      </w:pPr>
      <w:r>
        <w:rPr>
          <w:rFonts w:asciiTheme="majorHAnsi" w:hAnsiTheme="majorHAnsi" w:ascii="Cambria" w:hAnsi="Cambria"/>
          <w:color w:val="000000"/>
          <w:u w:val="none" w:color="000000"/>
        </w:rPr>
      </w:r>
    </w:p>
    <w:p>
      <w:pPr>
        <w:pStyle w:val="Normal"/>
        <w:keepNext w:val="true"/>
        <w:spacing w:lineRule="auto" w:line="276"/>
        <w:ind w:left="142"/>
        <w:jc w:val="center"/>
        <w:rPr>
          <w:rFonts w:ascii="Cambria" w:hAnsi="Cambria" w:asciiTheme="majorHAnsi" w:hAnsiTheme="majorHAnsi"/>
          <w:b/>
          <w:color w:val="000000"/>
          <w:u w:val="none" w:color="000000"/>
        </w:rPr>
      </w:pPr>
      <w:r>
        <w:rPr>
          <w:rFonts w:ascii="Cambria" w:hAnsi="Cambria" w:asciiTheme="majorHAnsi" w:hAnsiTheme="majorHAnsi"/>
          <w:b/>
          <w:color w:val="000000"/>
          <w:u w:val="none" w:color="000000"/>
        </w:rPr>
        <w:t>REGULAMIN UDZIELANIA ZAMÓWIEŃ PUBLICZNYCH O WARTOŚCI SZACUNKOWEJ PONIŻEJ KWOTY 170 000 złotych</w:t>
      </w:r>
    </w:p>
    <w:p>
      <w:pPr>
        <w:pStyle w:val="Normal"/>
        <w:keepNext w:val="true"/>
        <w:spacing w:lineRule="auto" w:line="276"/>
        <w:ind w:left="142"/>
        <w:jc w:val="center"/>
        <w:rPr>
          <w:rFonts w:ascii="Cambria" w:hAnsi="Cambria" w:asciiTheme="majorHAnsi" w:hAnsiTheme="majorHAnsi"/>
          <w:color w:val="000000"/>
          <w:u w:val="none" w:color="000000"/>
        </w:rPr>
      </w:pPr>
      <w:r>
        <w:rPr>
          <w:rFonts w:asciiTheme="majorHAnsi" w:hAnsiTheme="majorHAnsi" w:ascii="Cambria" w:hAnsi="Cambria"/>
          <w:color w:val="000000"/>
          <w:u w:val="none" w:color="000000"/>
        </w:rPr>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1. </w:t>
      </w:r>
      <w:r>
        <w:rPr>
          <w:rFonts w:ascii="Cambria" w:hAnsi="Cambria" w:asciiTheme="majorHAnsi" w:hAnsiTheme="majorHAnsi"/>
          <w:color w:val="000000"/>
          <w:u w:val="none" w:color="000000"/>
        </w:rPr>
        <w:t>Niniejszy Regulamin udzielania zamówień  publicznych stosuje się do wszystkich zamówień publicznych udzielanych przez zamawiającego publicznego jakim jest Gmina Gorzkowice, z tym zastrzeżeniem, że do zamówień, których wartość jest równa lub przekracza kwotę 170 000,00 złotych niniejszy regulamin znajduje zastosowanie w zakresie, w jakim nie jest sprzeczny z ustawą z dnia 11 września 2019 r. Prawo zamówień publicznych (tj. Dz. U. z 2024 r. poz. 1320 ze zm.).</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2. </w:t>
      </w:r>
      <w:r>
        <w:rPr>
          <w:rFonts w:ascii="Cambria" w:hAnsi="Cambria" w:asciiTheme="majorHAnsi" w:hAnsiTheme="majorHAnsi"/>
        </w:rPr>
        <w:t> </w:t>
      </w:r>
      <w:r>
        <w:rPr>
          <w:rFonts w:ascii="Cambria" w:hAnsi="Cambria" w:asciiTheme="majorHAnsi" w:hAnsiTheme="majorHAnsi"/>
          <w:color w:val="000000"/>
          <w:u w:val="none" w:color="000000"/>
        </w:rPr>
        <w:t>Ilekroć w niniejszym Regulaminie mowa jest o:</w:t>
      </w:r>
    </w:p>
    <w:p>
      <w:pPr>
        <w:pStyle w:val="Normal"/>
        <w:keepLines/>
        <w:spacing w:lineRule="auto" w:line="276"/>
        <w:ind w:left="142"/>
        <w:jc w:val="both"/>
        <w:rPr>
          <w:rFonts w:ascii="Cambria" w:hAnsi="Cambria" w:asciiTheme="majorHAnsi" w:hAnsiTheme="majorHAnsi"/>
          <w:color w:val="000000"/>
          <w:u w:val="none" w:color="000000"/>
        </w:rPr>
      </w:pPr>
      <w:r>
        <w:rPr>
          <w:rFonts w:ascii="Cambria" w:hAnsi="Cambria" w:asciiTheme="majorHAnsi" w:hAnsiTheme="majorHAnsi"/>
        </w:rPr>
        <w:t>a) </w:t>
      </w:r>
      <w:r>
        <w:rPr>
          <w:rFonts w:ascii="Cambria" w:hAnsi="Cambria" w:asciiTheme="majorHAnsi" w:hAnsiTheme="majorHAnsi"/>
          <w:b/>
          <w:color w:val="000000"/>
          <w:u w:val="none" w:color="000000"/>
        </w:rPr>
        <w:t>Zamawiającym</w:t>
      </w:r>
      <w:r>
        <w:rPr>
          <w:rFonts w:ascii="Cambria" w:hAnsi="Cambria" w:asciiTheme="majorHAnsi" w:hAnsiTheme="majorHAnsi"/>
          <w:color w:val="000000"/>
          <w:u w:val="none" w:color="000000"/>
        </w:rPr>
        <w:t xml:space="preserve"> – należy przez to rozumieć Gminę Gorzkowice,</w:t>
      </w:r>
    </w:p>
    <w:p>
      <w:pPr>
        <w:pStyle w:val="Normal"/>
        <w:keepLines/>
        <w:spacing w:lineRule="auto" w:line="276"/>
        <w:ind w:left="142"/>
        <w:jc w:val="both"/>
        <w:rPr>
          <w:rFonts w:ascii="Cambria" w:hAnsi="Cambria" w:asciiTheme="majorHAnsi" w:hAnsiTheme="majorHAnsi"/>
          <w:color w:val="000000"/>
          <w:u w:val="none" w:color="000000"/>
        </w:rPr>
      </w:pPr>
      <w:r>
        <w:rPr>
          <w:rFonts w:ascii="Cambria" w:hAnsi="Cambria" w:asciiTheme="majorHAnsi" w:hAnsiTheme="majorHAnsi"/>
        </w:rPr>
        <w:t>b) </w:t>
      </w:r>
      <w:r>
        <w:rPr>
          <w:rFonts w:ascii="Cambria" w:hAnsi="Cambria" w:asciiTheme="majorHAnsi" w:hAnsiTheme="majorHAnsi"/>
          <w:b/>
          <w:color w:val="000000"/>
          <w:u w:val="none" w:color="000000"/>
        </w:rPr>
        <w:t xml:space="preserve">Kierowniku zamawiającego </w:t>
      </w:r>
      <w:r>
        <w:rPr>
          <w:rFonts w:ascii="Cambria" w:hAnsi="Cambria" w:asciiTheme="majorHAnsi" w:hAnsiTheme="majorHAnsi"/>
          <w:color w:val="000000"/>
          <w:u w:val="none" w:color="000000"/>
        </w:rPr>
        <w:t>– należy przez to rozumieć Wójta Gminy Gorzkowice</w:t>
        <w:br/>
        <w:t>oraz osobę przez niego upoważnioną,</w:t>
      </w:r>
    </w:p>
    <w:p>
      <w:pPr>
        <w:pStyle w:val="Normal"/>
        <w:keepLines/>
        <w:spacing w:lineRule="auto" w:line="276"/>
        <w:ind w:left="142"/>
        <w:jc w:val="both"/>
        <w:rPr>
          <w:rFonts w:ascii="Cambria" w:hAnsi="Cambria" w:asciiTheme="majorHAnsi" w:hAnsiTheme="majorHAnsi"/>
          <w:color w:val="000000"/>
          <w:u w:val="none" w:color="000000"/>
        </w:rPr>
      </w:pPr>
      <w:r>
        <w:rPr>
          <w:rFonts w:ascii="Cambria" w:hAnsi="Cambria" w:asciiTheme="majorHAnsi" w:hAnsiTheme="majorHAnsi"/>
        </w:rPr>
        <w:t>c) </w:t>
      </w:r>
      <w:r>
        <w:rPr>
          <w:rFonts w:ascii="Cambria" w:hAnsi="Cambria" w:asciiTheme="majorHAnsi" w:hAnsiTheme="majorHAnsi"/>
          <w:b/>
          <w:color w:val="000000"/>
          <w:u w:val="none" w:color="000000"/>
        </w:rPr>
        <w:t>Komórce organizacyjnej</w:t>
      </w:r>
      <w:r>
        <w:rPr>
          <w:rFonts w:ascii="Cambria" w:hAnsi="Cambria" w:asciiTheme="majorHAnsi" w:hAnsiTheme="majorHAnsi"/>
          <w:color w:val="000000"/>
          <w:u w:val="none" w:color="000000"/>
        </w:rPr>
        <w:t xml:space="preserve"> – należy przez to rozumieć: referaty oraz samodzielne stanowiska pracy,</w:t>
      </w:r>
    </w:p>
    <w:p>
      <w:pPr>
        <w:pStyle w:val="Normal"/>
        <w:keepLines/>
        <w:spacing w:lineRule="auto" w:line="276"/>
        <w:ind w:left="142"/>
        <w:jc w:val="both"/>
        <w:rPr>
          <w:rFonts w:ascii="Cambria" w:hAnsi="Cambria" w:asciiTheme="majorHAnsi" w:hAnsiTheme="majorHAnsi"/>
          <w:color w:val="000000"/>
          <w:u w:val="none" w:color="000000"/>
        </w:rPr>
      </w:pPr>
      <w:r>
        <w:rPr>
          <w:rFonts w:ascii="Cambria" w:hAnsi="Cambria" w:asciiTheme="majorHAnsi" w:hAnsiTheme="majorHAnsi"/>
        </w:rPr>
        <w:t>d) </w:t>
      </w:r>
      <w:r>
        <w:rPr>
          <w:rFonts w:ascii="Cambria" w:hAnsi="Cambria" w:asciiTheme="majorHAnsi" w:hAnsiTheme="majorHAnsi"/>
          <w:b/>
          <w:color w:val="000000"/>
          <w:u w:val="none" w:color="000000"/>
        </w:rPr>
        <w:t xml:space="preserve">Kierowniku komórki organizacyjnej </w:t>
      </w:r>
      <w:r>
        <w:rPr>
          <w:rFonts w:ascii="Cambria" w:hAnsi="Cambria" w:asciiTheme="majorHAnsi" w:hAnsiTheme="majorHAnsi"/>
          <w:color w:val="000000"/>
          <w:u w:val="none" w:color="000000"/>
        </w:rPr>
        <w:t>– należy przez to rozumieć kierownika referatu, samodzielne stanowisko pracy,</w:t>
      </w:r>
    </w:p>
    <w:p>
      <w:pPr>
        <w:pStyle w:val="Normal"/>
        <w:keepLines/>
        <w:spacing w:lineRule="auto" w:line="276"/>
        <w:ind w:left="142"/>
        <w:jc w:val="both"/>
        <w:rPr>
          <w:rFonts w:ascii="Cambria" w:hAnsi="Cambria" w:asciiTheme="majorHAnsi" w:hAnsiTheme="majorHAnsi"/>
          <w:color w:val="000000"/>
          <w:u w:val="none" w:color="000000"/>
        </w:rPr>
      </w:pPr>
      <w:r>
        <w:rPr>
          <w:rFonts w:ascii="Cambria" w:hAnsi="Cambria" w:asciiTheme="majorHAnsi" w:hAnsiTheme="majorHAnsi"/>
        </w:rPr>
        <w:t>e) </w:t>
      </w:r>
      <w:r>
        <w:rPr>
          <w:rFonts w:ascii="Cambria" w:hAnsi="Cambria" w:asciiTheme="majorHAnsi" w:hAnsiTheme="majorHAnsi"/>
          <w:b/>
          <w:color w:val="000000"/>
          <w:u w:val="none" w:color="000000"/>
        </w:rPr>
        <w:t xml:space="preserve">Zamówieniu  </w:t>
      </w:r>
      <w:r>
        <w:rPr>
          <w:rFonts w:ascii="Cambria" w:hAnsi="Cambria" w:asciiTheme="majorHAnsi" w:hAnsiTheme="majorHAnsi"/>
          <w:color w:val="000000"/>
          <w:u w:val="none" w:color="000000"/>
        </w:rPr>
        <w:t>– należy przez to rozumieć umowy odpłatne zawierane między zamawiającym a wykonawcą, których przedmiotem jest nabycie przez zamawiającego od wybranego wykonawcy  usług, dostaw lub robót budowlanych,</w:t>
      </w:r>
    </w:p>
    <w:p>
      <w:pPr>
        <w:pStyle w:val="Normal"/>
        <w:keepLines/>
        <w:spacing w:lineRule="auto" w:line="276"/>
        <w:ind w:left="142"/>
        <w:jc w:val="both"/>
        <w:rPr>
          <w:rFonts w:ascii="Cambria" w:hAnsi="Cambria" w:asciiTheme="majorHAnsi" w:hAnsiTheme="majorHAnsi"/>
          <w:color w:val="000000"/>
          <w:u w:val="none" w:color="000000"/>
        </w:rPr>
      </w:pPr>
      <w:r>
        <w:rPr>
          <w:rFonts w:ascii="Cambria" w:hAnsi="Cambria" w:asciiTheme="majorHAnsi" w:hAnsiTheme="majorHAnsi"/>
        </w:rPr>
        <w:t>f) </w:t>
      </w:r>
      <w:r>
        <w:rPr>
          <w:rFonts w:ascii="Cambria" w:hAnsi="Cambria" w:asciiTheme="majorHAnsi" w:hAnsiTheme="majorHAnsi"/>
          <w:b/>
          <w:color w:val="000000"/>
          <w:u w:val="none" w:color="000000"/>
        </w:rPr>
        <w:t xml:space="preserve">Wykonawcy </w:t>
      </w:r>
      <w:r>
        <w:rPr>
          <w:rFonts w:ascii="Cambria" w:hAnsi="Cambria" w:asciiTheme="majorHAnsi" w:hAnsiTheme="majorHAnsi"/>
          <w:color w:val="000000"/>
          <w:u w:val="none" w:color="000000"/>
        </w:rPr>
        <w:t>– 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publicznego, złożyła ofertę lub zawarła umowę w sprawie zamówienia publicznego,</w:t>
      </w:r>
    </w:p>
    <w:p>
      <w:pPr>
        <w:pStyle w:val="Normal"/>
        <w:keepLines/>
        <w:spacing w:lineRule="auto" w:line="276"/>
        <w:ind w:left="142"/>
        <w:jc w:val="both"/>
        <w:rPr>
          <w:rFonts w:ascii="Cambria" w:hAnsi="Cambria" w:asciiTheme="majorHAnsi" w:hAnsiTheme="majorHAnsi"/>
          <w:color w:val="000000"/>
          <w:u w:val="none" w:color="000000"/>
        </w:rPr>
      </w:pPr>
      <w:r>
        <w:rPr>
          <w:rFonts w:ascii="Cambria" w:hAnsi="Cambria" w:asciiTheme="majorHAnsi" w:hAnsiTheme="majorHAnsi"/>
        </w:rPr>
        <w:t>g) </w:t>
      </w:r>
      <w:r>
        <w:rPr>
          <w:rFonts w:ascii="Cambria" w:hAnsi="Cambria" w:asciiTheme="majorHAnsi" w:hAnsiTheme="majorHAnsi"/>
          <w:b/>
          <w:color w:val="000000"/>
          <w:u w:val="none" w:color="000000"/>
        </w:rPr>
        <w:t xml:space="preserve">Ustawie </w:t>
      </w:r>
      <w:r>
        <w:rPr>
          <w:rFonts w:ascii="Cambria" w:hAnsi="Cambria" w:asciiTheme="majorHAnsi" w:hAnsiTheme="majorHAnsi"/>
          <w:color w:val="000000"/>
          <w:u w:val="none" w:color="000000"/>
        </w:rPr>
        <w:t>– należy przez to rozumieć ustawę z dnia 11 września 2019 r.  – Prawo zamówień publicznych (Dz. U. z 2024 poz. 1320 ze. zm.) dalej również  ustawa pzp,</w:t>
      </w:r>
    </w:p>
    <w:p>
      <w:pPr>
        <w:pStyle w:val="Normal"/>
        <w:keepLines/>
        <w:spacing w:lineRule="auto" w:line="276"/>
        <w:ind w:left="142"/>
        <w:jc w:val="both"/>
        <w:rPr>
          <w:rFonts w:ascii="Cambria" w:hAnsi="Cambria" w:asciiTheme="majorHAnsi" w:hAnsiTheme="majorHAnsi"/>
          <w:color w:val="000000"/>
          <w:u w:val="none" w:color="000000"/>
        </w:rPr>
      </w:pPr>
      <w:r>
        <w:rPr>
          <w:rFonts w:ascii="Cambria" w:hAnsi="Cambria" w:asciiTheme="majorHAnsi" w:hAnsiTheme="majorHAnsi"/>
        </w:rPr>
        <w:t>h) </w:t>
      </w:r>
      <w:r>
        <w:rPr>
          <w:rFonts w:ascii="Cambria" w:hAnsi="Cambria" w:asciiTheme="majorHAnsi" w:hAnsiTheme="majorHAnsi"/>
          <w:b/>
          <w:color w:val="000000"/>
          <w:u w:val="none" w:color="000000"/>
        </w:rPr>
        <w:t xml:space="preserve">Szacunkowej wartości zamówienia </w:t>
      </w:r>
      <w:r>
        <w:rPr>
          <w:rFonts w:ascii="Cambria" w:hAnsi="Cambria" w:asciiTheme="majorHAnsi" w:hAnsiTheme="majorHAnsi"/>
          <w:color w:val="000000"/>
          <w:u w:val="none" w:color="000000"/>
        </w:rPr>
        <w:t>– należy przez to rozumieć wartość, której podstawą ustalenia jest całkowite szacunkowe wynagrodzenie wykonawcy, bez podatku od towarów i usług, ustalone z należytą starannością.</w:t>
      </w:r>
    </w:p>
    <w:p>
      <w:pPr>
        <w:pStyle w:val="Normal"/>
        <w:keepLines/>
        <w:spacing w:lineRule="auto" w:line="276"/>
        <w:ind w:firstLine="142" w:left="142"/>
        <w:jc w:val="both"/>
        <w:rPr>
          <w:rFonts w:ascii="Cambria" w:hAnsi="Cambria" w:asciiTheme="majorHAnsi" w:hAnsiTheme="majorHAnsi"/>
          <w:color w:val="000000"/>
          <w:u w:val="none" w:color="000000"/>
        </w:rPr>
      </w:pPr>
      <w:r>
        <w:rPr>
          <w:rFonts w:ascii="Cambria" w:hAnsi="Cambria" w:asciiTheme="majorHAnsi" w:hAnsiTheme="majorHAnsi"/>
          <w:b/>
        </w:rPr>
        <w:t>§ 3. </w:t>
      </w:r>
      <w:r>
        <w:rPr>
          <w:rFonts w:ascii="Cambria" w:hAnsi="Cambria" w:asciiTheme="majorHAnsi" w:hAnsiTheme="majorHAnsi"/>
        </w:rPr>
        <w:t>1. </w:t>
      </w:r>
      <w:r>
        <w:rPr>
          <w:rFonts w:ascii="Cambria" w:hAnsi="Cambria" w:asciiTheme="majorHAnsi" w:hAnsiTheme="majorHAnsi"/>
          <w:color w:val="000000"/>
          <w:u w:val="none" w:color="000000"/>
        </w:rPr>
        <w:t>Zamawiający udziela  zamówień w sposób zapewniający:</w:t>
      </w:r>
    </w:p>
    <w:p>
      <w:pPr>
        <w:pStyle w:val="Normal"/>
        <w:keepLines/>
        <w:spacing w:lineRule="auto" w:line="276"/>
        <w:ind w:left="142"/>
        <w:jc w:val="both"/>
        <w:rPr>
          <w:rFonts w:ascii="Cambria" w:hAnsi="Cambria" w:asciiTheme="majorHAnsi" w:hAnsiTheme="majorHAnsi"/>
          <w:color w:val="000000"/>
          <w:u w:val="none" w:color="000000"/>
        </w:rPr>
      </w:pPr>
      <w:r>
        <w:rPr>
          <w:rFonts w:ascii="Cambria" w:hAnsi="Cambria" w:asciiTheme="majorHAnsi" w:hAnsiTheme="majorHAnsi"/>
        </w:rPr>
        <w:t>a) </w:t>
      </w:r>
      <w:r>
        <w:rPr>
          <w:rFonts w:ascii="Cambria" w:hAnsi="Cambria" w:asciiTheme="majorHAnsi" w:hAnsiTheme="majorHAnsi"/>
          <w:color w:val="000000"/>
          <w:u w:val="none" w:color="000000"/>
        </w:rPr>
        <w:t>najlepszą jakość dostaw, usług oraz robót budowlanych, uzasadnioną charakterem zamówienia, w ramach środków, które zamawiający może przeznaczyć na jego realizację oraz</w:t>
      </w:r>
    </w:p>
    <w:p>
      <w:pPr>
        <w:pStyle w:val="Normal"/>
        <w:keepLines/>
        <w:spacing w:lineRule="auto" w:line="276"/>
        <w:ind w:left="142"/>
        <w:jc w:val="both"/>
        <w:rPr>
          <w:rFonts w:ascii="Cambria" w:hAnsi="Cambria" w:asciiTheme="majorHAnsi" w:hAnsiTheme="majorHAnsi"/>
          <w:color w:val="000000"/>
          <w:u w:val="none" w:color="000000"/>
        </w:rPr>
      </w:pPr>
      <w:r>
        <w:rPr>
          <w:rFonts w:ascii="Cambria" w:hAnsi="Cambria" w:asciiTheme="majorHAnsi" w:hAnsiTheme="majorHAnsi"/>
        </w:rPr>
        <w:t>b) </w:t>
      </w:r>
      <w:r>
        <w:rPr>
          <w:rFonts w:ascii="Cambria" w:hAnsi="Cambria" w:asciiTheme="majorHAnsi" w:hAnsiTheme="majorHAnsi"/>
          <w:color w:val="000000"/>
          <w:u w:val="none" w:color="000000"/>
        </w:rPr>
        <w:t>uzyskanie najlepszych efektów zamówienia, w tym efektów społecznych, środowiskowych oraz gospodarczych, o ile którykolwiek z tych efektów jest możliwy do uzyskania w danym zamówieniu w stosunku do poniesionych nakładów.</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Czynności związane z przygotowaniem oraz przeprowadzeniem postępowania                    o udzielenie zamówienia wykonują osoby zapewniające bezstronność i obiektywizm.</w:t>
      </w:r>
    </w:p>
    <w:p>
      <w:pPr>
        <w:pStyle w:val="Normal"/>
        <w:keepLines/>
        <w:spacing w:lineRule="auto" w:line="276"/>
        <w:ind w:firstLine="142" w:left="142"/>
        <w:jc w:val="both"/>
        <w:rPr>
          <w:rFonts w:ascii="Cambria" w:hAnsi="Cambria" w:asciiTheme="majorHAnsi" w:hAnsiTheme="majorHAnsi"/>
          <w:color w:val="000000"/>
          <w:u w:val="none" w:color="000000"/>
        </w:rPr>
      </w:pPr>
      <w:r>
        <w:rPr>
          <w:rFonts w:ascii="Cambria" w:hAnsi="Cambria" w:asciiTheme="majorHAnsi" w:hAnsiTheme="majorHAnsi"/>
          <w:b/>
        </w:rPr>
        <w:t>§ 4. </w:t>
      </w:r>
      <w:r>
        <w:rPr>
          <w:rFonts w:ascii="Cambria" w:hAnsi="Cambria" w:asciiTheme="majorHAnsi" w:hAnsiTheme="majorHAnsi"/>
        </w:rPr>
        <w:t>1. </w:t>
      </w:r>
      <w:r>
        <w:rPr>
          <w:rFonts w:ascii="Cambria" w:hAnsi="Cambria" w:asciiTheme="majorHAnsi" w:hAnsiTheme="majorHAnsi"/>
          <w:color w:val="000000"/>
          <w:u w:val="none" w:color="000000"/>
        </w:rPr>
        <w:t>Podstawą ustalenia wartości zamówienia jest całkowite szacunkowe wynagrodzenie wykonawcy, bez podatku od towarów i usług, ustalone przez zamawiającego z należytą starannością.</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Przed wszczęciem procedury udzielania zamówienia komórka organizacyjna szacuje                   z należytą starannością wartość zamówienia, w szczególności ustala, czy:</w:t>
      </w:r>
    </w:p>
    <w:p>
      <w:pPr>
        <w:pStyle w:val="Normal"/>
        <w:tabs>
          <w:tab w:val="clear" w:pos="720"/>
          <w:tab w:val="left" w:pos="709" w:leader="none"/>
        </w:tabs>
        <w:spacing w:lineRule="auto" w:line="276"/>
        <w:ind w:hanging="142" w:left="709"/>
        <w:jc w:val="both"/>
        <w:rPr>
          <w:rFonts w:ascii="Cambria" w:hAnsi="Cambria" w:asciiTheme="majorHAnsi" w:hAnsiTheme="majorHAnsi"/>
          <w:color w:val="000000"/>
          <w:u w:val="none" w:color="000000"/>
        </w:rPr>
      </w:pPr>
      <w:r>
        <w:rPr>
          <w:rFonts w:ascii="Cambria" w:hAnsi="Cambria" w:asciiTheme="majorHAnsi" w:hAnsiTheme="majorHAnsi"/>
        </w:rPr>
        <w:t>1) </w:t>
      </w:r>
      <w:r>
        <w:rPr>
          <w:rFonts w:ascii="Cambria" w:hAnsi="Cambria" w:asciiTheme="majorHAnsi" w:hAnsiTheme="majorHAnsi"/>
          <w:color w:val="000000"/>
          <w:u w:val="none" w:color="000000"/>
        </w:rPr>
        <w:t>istnieje obowiązek stosowania ustawy pzp,</w:t>
      </w:r>
    </w:p>
    <w:p>
      <w:pPr>
        <w:pStyle w:val="Normal"/>
        <w:tabs>
          <w:tab w:val="clear" w:pos="720"/>
          <w:tab w:val="left" w:pos="709" w:leader="none"/>
        </w:tabs>
        <w:spacing w:lineRule="auto" w:line="276"/>
        <w:ind w:hanging="142" w:left="709"/>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zaplanowano środki na realizację planowanego wydatku.</w:t>
      </w:r>
    </w:p>
    <w:p>
      <w:pPr>
        <w:pStyle w:val="Normal"/>
        <w:keepLines/>
        <w:spacing w:lineRule="auto" w:line="276"/>
        <w:ind w:firstLine="284" w:left="142"/>
        <w:jc w:val="both"/>
        <w:rPr>
          <w:rFonts w:ascii="Cambria" w:hAnsi="Cambria" w:asciiTheme="majorHAnsi" w:hAnsiTheme="majorHAnsi"/>
          <w:color w:val="000000"/>
          <w:u w:val="none" w:color="000000"/>
        </w:rPr>
      </w:pPr>
      <w:r>
        <w:rPr>
          <w:rFonts w:ascii="Cambria" w:hAnsi="Cambria" w:asciiTheme="majorHAnsi" w:hAnsiTheme="majorHAnsi"/>
        </w:rPr>
        <w:t>3. </w:t>
      </w:r>
      <w:r>
        <w:rPr>
          <w:rFonts w:ascii="Cambria" w:hAnsi="Cambria" w:asciiTheme="majorHAnsi" w:hAnsiTheme="majorHAnsi"/>
          <w:color w:val="000000"/>
          <w:u w:val="none" w:color="000000"/>
        </w:rPr>
        <w:t>Zamawiający nie może:</w:t>
      </w:r>
    </w:p>
    <w:p>
      <w:pPr>
        <w:pStyle w:val="Normal"/>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1) </w:t>
      </w:r>
      <w:r>
        <w:rPr>
          <w:rFonts w:ascii="Cambria" w:hAnsi="Cambria" w:asciiTheme="majorHAnsi" w:hAnsiTheme="majorHAnsi"/>
          <w:color w:val="000000"/>
          <w:u w:val="none" w:color="000000"/>
        </w:rPr>
        <w:t>w celu uniknięcia stosowania przepisów ustawy, zaniżać wartości zamówienia lub konkursu, lub wybierać sposobu obliczenia wartości zamówienia;</w:t>
      </w:r>
    </w:p>
    <w:p>
      <w:pPr>
        <w:pStyle w:val="Normal"/>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dzielić zamówienia na odrębne zamówienia, jeżeli prowadzi to do niestosowania przepisów ustawy, chyba, że jest to uzasadnione obiektywnymi przyczynami.</w:t>
      </w:r>
    </w:p>
    <w:p>
      <w:pPr>
        <w:pStyle w:val="Normal"/>
        <w:keepLines/>
        <w:spacing w:lineRule="auto" w:line="276"/>
        <w:ind w:firstLine="284" w:left="142"/>
        <w:jc w:val="both"/>
        <w:rPr>
          <w:rFonts w:ascii="Cambria" w:hAnsi="Cambria" w:asciiTheme="majorHAnsi" w:hAnsiTheme="majorHAnsi"/>
          <w:color w:val="000000"/>
          <w:u w:val="none" w:color="000000"/>
        </w:rPr>
      </w:pPr>
      <w:r>
        <w:rPr>
          <w:rFonts w:ascii="Cambria" w:hAnsi="Cambria" w:asciiTheme="majorHAnsi" w:hAnsiTheme="majorHAnsi"/>
        </w:rPr>
        <w:t>4. </w:t>
      </w:r>
      <w:r>
        <w:rPr>
          <w:rFonts w:ascii="Cambria" w:hAnsi="Cambria" w:asciiTheme="majorHAnsi" w:hAnsiTheme="majorHAnsi"/>
          <w:color w:val="000000"/>
          <w:u w:val="none" w:color="000000"/>
        </w:rPr>
        <w:t>Ustalenia wartości zamówienia dokonuje się nie wcześniej niż 3 miesiące przed dniem wszczęcia postepowania o udzielenie zamówienia, jeżeli przedmiotem zamówienia są dostawy lub usługi oraz nie wcześniej niż 6 miesięcy przed dniem wszczęcia postępowania o udzielenie zamówienia, jeżeli przedmiotem zamówienia są roboty budowlane, z tym że w przypadku zamówień publicznych udzielanych  w częściach powyższe terminy odnoszą się do wszczęcia pierwszego z postępowań. Jeżeli po ustaleniu wartości zamówienia nastąpiła zmiana okoliczności mających wpływ na dokonane ustalenie, zamawiający przed wszczęciem postępowania dokonuje zmiany wartości zamówienia.</w:t>
      </w:r>
    </w:p>
    <w:p>
      <w:pPr>
        <w:pStyle w:val="Normal"/>
        <w:keepLines/>
        <w:spacing w:lineRule="auto" w:line="276"/>
        <w:ind w:firstLine="284" w:left="142"/>
        <w:jc w:val="both"/>
        <w:rPr>
          <w:rFonts w:ascii="Cambria" w:hAnsi="Cambria" w:asciiTheme="majorHAnsi" w:hAnsiTheme="majorHAnsi"/>
          <w:color w:val="000000"/>
          <w:u w:val="none" w:color="000000"/>
        </w:rPr>
      </w:pPr>
      <w:r>
        <w:rPr>
          <w:rFonts w:ascii="Cambria" w:hAnsi="Cambria" w:asciiTheme="majorHAnsi" w:hAnsiTheme="majorHAnsi"/>
        </w:rPr>
        <w:t>5. </w:t>
      </w:r>
      <w:r>
        <w:rPr>
          <w:rFonts w:ascii="Cambria" w:hAnsi="Cambria" w:asciiTheme="majorHAnsi" w:hAnsiTheme="majorHAnsi"/>
          <w:color w:val="000000"/>
          <w:u w:val="none" w:color="000000"/>
        </w:rPr>
        <w:t>Szacunkową wartość zamówienia ustala się, przy zastosowaniu co najmniej jednej                    z wymienionych metod:</w:t>
      </w:r>
    </w:p>
    <w:p>
      <w:pPr>
        <w:pStyle w:val="Normal"/>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1) </w:t>
      </w:r>
      <w:r>
        <w:rPr>
          <w:rFonts w:ascii="Cambria" w:hAnsi="Cambria" w:asciiTheme="majorHAnsi" w:hAnsiTheme="majorHAnsi"/>
          <w:color w:val="000000"/>
          <w:u w:val="none" w:color="000000"/>
        </w:rPr>
        <w:t>analizy cen rynkowych,</w:t>
      </w:r>
    </w:p>
    <w:p>
      <w:pPr>
        <w:pStyle w:val="Normal"/>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analizy wydatków poniesionych na zamówienia danego rodzaju w okresie poprzedzającym moment szacowania wartości zamówienia, z uwzględnieniem wskaźnika wzrostu cen towarów i usług konsumpcyjnych publikowanego przez Prezesa Głównego Urzędu Statystycznego,</w:t>
      </w:r>
    </w:p>
    <w:p>
      <w:pPr>
        <w:pStyle w:val="Normal"/>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3) </w:t>
      </w:r>
      <w:r>
        <w:rPr>
          <w:rFonts w:ascii="Cambria" w:hAnsi="Cambria" w:asciiTheme="majorHAnsi" w:hAnsiTheme="majorHAnsi"/>
          <w:color w:val="000000"/>
          <w:u w:val="none" w:color="000000"/>
        </w:rPr>
        <w:t>analizy cen ofertowych złożonych w postępowaniach prowadzonych przez Zamawiającego lub zamówień udzielonych przez innych zamawiających, obejmujących analogiczny przedmiot zamówienia, z uwzględnieniem wskaźnika wzrostu cen towarów i usług konsumpcyjnych publikowanego przez Prezesa Głównego Urzędu Statystycznego.</w:t>
      </w:r>
    </w:p>
    <w:p>
      <w:pPr>
        <w:pStyle w:val="Normal"/>
        <w:keepLines/>
        <w:spacing w:lineRule="auto" w:line="276"/>
        <w:ind w:firstLine="284" w:left="142"/>
        <w:jc w:val="both"/>
        <w:rPr>
          <w:rFonts w:ascii="Cambria" w:hAnsi="Cambria" w:asciiTheme="majorHAnsi" w:hAnsiTheme="majorHAnsi"/>
          <w:color w:val="000000"/>
          <w:u w:val="none" w:color="000000"/>
        </w:rPr>
      </w:pPr>
      <w:r>
        <w:rPr>
          <w:rFonts w:ascii="Cambria" w:hAnsi="Cambria" w:asciiTheme="majorHAnsi" w:hAnsiTheme="majorHAnsi"/>
        </w:rPr>
        <w:t>6. </w:t>
      </w:r>
      <w:r>
        <w:rPr>
          <w:rFonts w:ascii="Cambria" w:hAnsi="Cambria" w:asciiTheme="majorHAnsi" w:hAnsiTheme="majorHAnsi"/>
          <w:color w:val="000000"/>
          <w:u w:val="none" w:color="000000"/>
        </w:rPr>
        <w:t>Dokumentami potwierdzającymi ustalenie szacunkowej wartości zamówienia są                       w szczególności:</w:t>
      </w:r>
    </w:p>
    <w:p>
      <w:pPr>
        <w:pStyle w:val="Normal"/>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1) </w:t>
      </w:r>
      <w:r>
        <w:rPr>
          <w:rFonts w:ascii="Cambria" w:hAnsi="Cambria" w:asciiTheme="majorHAnsi" w:hAnsiTheme="majorHAnsi"/>
          <w:color w:val="000000"/>
          <w:u w:val="none" w:color="000000"/>
        </w:rPr>
        <w:t>zapytania cenowe skierowane do potencjalnych Wykonawców;</w:t>
      </w:r>
    </w:p>
    <w:p>
      <w:pPr>
        <w:pStyle w:val="Normal"/>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odpowiedzi cenowe Wykonawców;</w:t>
      </w:r>
    </w:p>
    <w:p>
      <w:pPr>
        <w:pStyle w:val="Normal"/>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3) </w:t>
      </w:r>
      <w:r>
        <w:rPr>
          <w:rFonts w:ascii="Cambria" w:hAnsi="Cambria" w:asciiTheme="majorHAnsi" w:hAnsiTheme="majorHAnsi"/>
          <w:color w:val="000000"/>
          <w:u w:val="none" w:color="000000"/>
        </w:rPr>
        <w:t>wydruki ze stron internetowych zawierające ceny usług i towarów (opatrzone datą dokonania wydruku);</w:t>
      </w:r>
    </w:p>
    <w:p>
      <w:pPr>
        <w:pStyle w:val="Normal"/>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4) </w:t>
      </w:r>
      <w:r>
        <w:rPr>
          <w:rFonts w:ascii="Cambria" w:hAnsi="Cambria" w:asciiTheme="majorHAnsi" w:hAnsiTheme="majorHAnsi"/>
          <w:color w:val="000000"/>
          <w:u w:val="none" w:color="000000"/>
        </w:rPr>
        <w:t>kopie ofert lub umów z innych postępowań (obejmujących analogiczny przedmiot zamówienia) z okresu poprzedzającego moment szacowania wartości zamówienia.</w:t>
      </w:r>
    </w:p>
    <w:p>
      <w:pPr>
        <w:pStyle w:val="Normal"/>
        <w:keepLines/>
        <w:spacing w:lineRule="auto" w:line="276"/>
        <w:ind w:firstLine="142" w:left="142"/>
        <w:jc w:val="both"/>
        <w:rPr>
          <w:rFonts w:ascii="Cambria" w:hAnsi="Cambria" w:asciiTheme="majorHAnsi" w:hAnsiTheme="majorHAnsi"/>
          <w:color w:val="000000"/>
          <w:u w:val="none" w:color="000000"/>
        </w:rPr>
      </w:pPr>
      <w:r>
        <w:rPr>
          <w:rFonts w:ascii="Cambria" w:hAnsi="Cambria" w:asciiTheme="majorHAnsi" w:hAnsiTheme="majorHAnsi"/>
          <w:b/>
        </w:rPr>
        <w:t>§ 5. </w:t>
      </w:r>
      <w:r>
        <w:rPr>
          <w:rFonts w:ascii="Cambria" w:hAnsi="Cambria" w:asciiTheme="majorHAnsi" w:hAnsiTheme="majorHAnsi"/>
          <w:color w:val="000000"/>
          <w:u w:val="none" w:color="000000"/>
        </w:rPr>
        <w:t xml:space="preserve">Ramowe procedury udzielania zamówień publicznych uregulowano dokonując podziału </w:t>
      </w:r>
      <w:r>
        <w:rPr>
          <w:rFonts w:ascii="Cambria" w:hAnsi="Cambria" w:asciiTheme="majorHAnsi" w:hAnsiTheme="majorHAnsi"/>
          <w:b/>
          <w:color w:val="000000"/>
          <w:u w:val="none" w:color="000000"/>
        </w:rPr>
        <w:t>na dwie grupy zamówień:</w:t>
      </w:r>
    </w:p>
    <w:p>
      <w:pPr>
        <w:pStyle w:val="Normal"/>
        <w:keepLines/>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a) </w:t>
      </w:r>
      <w:r>
        <w:rPr>
          <w:rFonts w:ascii="Cambria" w:hAnsi="Cambria" w:asciiTheme="majorHAnsi" w:hAnsiTheme="majorHAnsi"/>
          <w:color w:val="000000"/>
          <w:u w:val="none" w:color="000000"/>
        </w:rPr>
        <w:t>zamówienia o wartości nieprzekraczającej kwoty 80 000 PLN,</w:t>
      </w:r>
    </w:p>
    <w:p>
      <w:pPr>
        <w:pStyle w:val="Normal"/>
        <w:keepLines/>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b) </w:t>
      </w:r>
      <w:r>
        <w:rPr>
          <w:rFonts w:ascii="Cambria" w:hAnsi="Cambria" w:asciiTheme="majorHAnsi" w:hAnsiTheme="majorHAnsi"/>
          <w:color w:val="000000"/>
          <w:u w:val="none" w:color="000000"/>
        </w:rPr>
        <w:t>zamówienia o wartości równej lub przekraczającej kwotę 80 000 PLN i nie przekraczającej  kwoty 170 000 złotych.</w:t>
      </w:r>
    </w:p>
    <w:p>
      <w:pPr>
        <w:pStyle w:val="Normal"/>
        <w:keepLines/>
        <w:spacing w:lineRule="auto" w:line="276"/>
        <w:ind w:firstLine="142" w:left="142"/>
        <w:jc w:val="both"/>
        <w:rPr>
          <w:rFonts w:ascii="Cambria" w:hAnsi="Cambria" w:asciiTheme="majorHAnsi" w:hAnsiTheme="majorHAnsi"/>
          <w:color w:val="000000"/>
          <w:u w:val="none" w:color="000000"/>
        </w:rPr>
      </w:pPr>
      <w:r>
        <w:rPr>
          <w:rFonts w:ascii="Cambria" w:hAnsi="Cambria" w:asciiTheme="majorHAnsi" w:hAnsiTheme="majorHAnsi"/>
          <w:b/>
        </w:rPr>
        <w:t>§ 6. </w:t>
      </w:r>
      <w:r>
        <w:rPr>
          <w:rFonts w:ascii="Cambria" w:hAnsi="Cambria" w:asciiTheme="majorHAnsi" w:hAnsiTheme="majorHAnsi"/>
          <w:color w:val="000000"/>
          <w:u w:val="none" w:color="000000"/>
        </w:rPr>
        <w:t>Zamówienia o których mowa w § 5 a) są realizowane samodzielnie przez  merytoryczną komórkę organizacyjną zamawiającego, a podstawą udokumentowania zamówienia jest uzyskanie faktury lub rachunku potwierdzającego wydatkowanie środków.</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7. </w:t>
      </w:r>
      <w:r>
        <w:rPr>
          <w:rFonts w:ascii="Cambria" w:hAnsi="Cambria" w:asciiTheme="majorHAnsi" w:hAnsiTheme="majorHAnsi"/>
        </w:rPr>
        <w:t>1. </w:t>
      </w:r>
      <w:r>
        <w:rPr>
          <w:rFonts w:ascii="Cambria" w:hAnsi="Cambria" w:asciiTheme="majorHAnsi" w:hAnsiTheme="majorHAnsi"/>
          <w:color w:val="000000"/>
          <w:u w:val="none" w:color="000000"/>
        </w:rPr>
        <w:t xml:space="preserve">W przypadku zamówień, o których mowa w § 5 b) zamawiający wszczyna postępowanie, zapraszając do składania ofert taką liczbę wykonawców świadczących w ramach prowadzonej przez nich działalności w zakresie dostaw, usług i robót budowlanych będących przedmiotem zamówienia, która zapewnia konkurencję oraz wybór najkorzystniejszej oferty, </w:t>
      </w:r>
      <w:r>
        <w:rPr>
          <w:rFonts w:ascii="Cambria" w:hAnsi="Cambria" w:asciiTheme="majorHAnsi" w:hAnsiTheme="majorHAnsi"/>
          <w:b/>
          <w:color w:val="000000"/>
          <w:u w:val="none" w:color="000000"/>
        </w:rPr>
        <w:t>ale nie mniej niż 2 wykonawców.</w:t>
      </w:r>
    </w:p>
    <w:p>
      <w:pPr>
        <w:pStyle w:val="Normal"/>
        <w:spacing w:lineRule="auto" w:line="276"/>
        <w:ind w:firstLine="425" w:left="142"/>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Zapytanie ofertowe zamawiający kieruje na piśmie, drogą pocztową, za pomocą faksu, drogą elektroniczną bądź w drodze bezpośredniego doręczenia. Przy czym zaleca się by przy przygotowywaniu i prowadzeniu postępowań korzystać w możliwie najszerszym zakresie ze środków komunikacji elektronicznej.</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3. </w:t>
      </w:r>
      <w:r>
        <w:rPr>
          <w:rFonts w:ascii="Cambria" w:hAnsi="Cambria" w:asciiTheme="majorHAnsi" w:hAnsiTheme="majorHAnsi"/>
          <w:color w:val="000000"/>
          <w:u w:val="none" w:color="000000"/>
        </w:rPr>
        <w:t>Zapytanie ofertowe powinno zawierać w szczególności:</w:t>
      </w:r>
    </w:p>
    <w:p>
      <w:pPr>
        <w:pStyle w:val="Normal"/>
        <w:spacing w:lineRule="auto" w:line="276"/>
        <w:ind w:firstLine="567" w:left="142"/>
        <w:jc w:val="both"/>
        <w:rPr>
          <w:rFonts w:ascii="Cambria" w:hAnsi="Cambria" w:asciiTheme="majorHAnsi" w:hAnsiTheme="majorHAnsi"/>
          <w:u w:val="none" w:color="000000"/>
        </w:rPr>
      </w:pPr>
      <w:r>
        <w:rPr>
          <w:rFonts w:ascii="Cambria" w:hAnsi="Cambria" w:asciiTheme="majorHAnsi" w:hAnsiTheme="majorHAnsi"/>
        </w:rPr>
        <w:t>1) </w:t>
      </w:r>
      <w:r>
        <w:rPr>
          <w:rFonts w:ascii="Cambria" w:hAnsi="Cambria" w:asciiTheme="majorHAnsi" w:hAnsiTheme="majorHAnsi"/>
          <w:u w:val="none" w:color="000000"/>
        </w:rPr>
        <w:t>opis przedmiotu zamówienia;</w:t>
      </w:r>
    </w:p>
    <w:p>
      <w:pPr>
        <w:pStyle w:val="Normal"/>
        <w:spacing w:lineRule="auto" w:line="276"/>
        <w:ind w:firstLine="567" w:left="142"/>
        <w:jc w:val="both"/>
        <w:rPr>
          <w:rFonts w:ascii="Cambria" w:hAnsi="Cambria" w:asciiTheme="majorHAnsi" w:hAnsiTheme="majorHAnsi"/>
          <w:u w:val="none" w:color="000000"/>
        </w:rPr>
      </w:pPr>
      <w:r>
        <w:rPr>
          <w:rFonts w:ascii="Cambria" w:hAnsi="Cambria" w:asciiTheme="majorHAnsi" w:hAnsiTheme="majorHAnsi"/>
        </w:rPr>
        <w:t>2) </w:t>
      </w:r>
      <w:r>
        <w:rPr>
          <w:rFonts w:ascii="Cambria" w:hAnsi="Cambria" w:asciiTheme="majorHAnsi" w:hAnsiTheme="majorHAnsi"/>
          <w:u w:val="none" w:color="000000"/>
        </w:rPr>
        <w:t xml:space="preserve">opis kryteriów wyboru wykonawcy, zgodnie z ust. 4. </w:t>
      </w:r>
    </w:p>
    <w:p>
      <w:pPr>
        <w:pStyle w:val="Normal"/>
        <w:spacing w:lineRule="auto" w:line="276"/>
        <w:ind w:firstLine="567" w:left="142"/>
        <w:jc w:val="both"/>
        <w:rPr>
          <w:rFonts w:ascii="Cambria" w:hAnsi="Cambria" w:asciiTheme="majorHAnsi" w:hAnsiTheme="majorHAnsi"/>
          <w:u w:val="none" w:color="000000"/>
        </w:rPr>
      </w:pPr>
      <w:r>
        <w:rPr>
          <w:rFonts w:ascii="Cambria" w:hAnsi="Cambria" w:asciiTheme="majorHAnsi" w:hAnsiTheme="majorHAnsi"/>
        </w:rPr>
        <w:t>3) </w:t>
      </w:r>
      <w:r>
        <w:rPr>
          <w:rFonts w:ascii="Cambria" w:hAnsi="Cambria" w:asciiTheme="majorHAnsi" w:hAnsiTheme="majorHAnsi"/>
          <w:u w:val="none" w:color="000000"/>
        </w:rPr>
        <w:t>warunki realizacji zamówienia;</w:t>
      </w:r>
    </w:p>
    <w:p>
      <w:pPr>
        <w:pStyle w:val="Normal"/>
        <w:spacing w:lineRule="auto" w:line="276"/>
        <w:ind w:firstLine="567" w:left="142"/>
        <w:jc w:val="both"/>
        <w:rPr>
          <w:rFonts w:ascii="Cambria" w:hAnsi="Cambria" w:asciiTheme="majorHAnsi" w:hAnsiTheme="majorHAnsi"/>
          <w:u w:val="none" w:color="000000"/>
        </w:rPr>
      </w:pPr>
      <w:r>
        <w:rPr>
          <w:rFonts w:ascii="Cambria" w:hAnsi="Cambria" w:asciiTheme="majorHAnsi" w:hAnsiTheme="majorHAnsi"/>
        </w:rPr>
        <w:t>4) </w:t>
      </w:r>
      <w:r>
        <w:rPr>
          <w:rFonts w:ascii="Cambria" w:hAnsi="Cambria" w:asciiTheme="majorHAnsi" w:hAnsiTheme="majorHAnsi"/>
          <w:u w:val="none" w:color="000000"/>
        </w:rPr>
        <w:t>termin, sposób i formę przekazania odpowiedzi przez wykonawcę.</w:t>
      </w:r>
    </w:p>
    <w:p>
      <w:pPr>
        <w:pStyle w:val="Normal"/>
        <w:keepLines/>
        <w:spacing w:lineRule="auto" w:line="276"/>
        <w:ind w:firstLine="284" w:left="142"/>
        <w:jc w:val="both"/>
        <w:rPr>
          <w:rFonts w:ascii="Cambria" w:hAnsi="Cambria" w:asciiTheme="majorHAnsi" w:hAnsiTheme="majorHAnsi"/>
        </w:rPr>
      </w:pPr>
      <w:r>
        <w:rPr>
          <w:rFonts w:ascii="Cambria" w:hAnsi="Cambria" w:asciiTheme="majorHAnsi" w:hAnsiTheme="majorHAnsi"/>
        </w:rPr>
        <w:t>4. Kryteriami wyboru wykonawcy są cena albo cena i inne kryteria, gwarantujące uzyskanie najkorzystniejszej ekonomicznie i jakościowo oferty, w szczególności:</w:t>
      </w:r>
    </w:p>
    <w:p>
      <w:pPr>
        <w:pStyle w:val="Normal"/>
        <w:keepLines/>
        <w:spacing w:lineRule="auto" w:line="276"/>
        <w:ind w:firstLine="567" w:left="142"/>
        <w:jc w:val="both"/>
        <w:rPr>
          <w:rFonts w:ascii="Cambria" w:hAnsi="Cambria" w:asciiTheme="majorHAnsi" w:hAnsiTheme="majorHAnsi"/>
        </w:rPr>
      </w:pPr>
      <w:r>
        <w:rPr>
          <w:rFonts w:ascii="Cambria" w:hAnsi="Cambria" w:asciiTheme="majorHAnsi" w:hAnsiTheme="majorHAnsi"/>
        </w:rPr>
        <w:t>1)</w:t>
        <w:tab/>
        <w:t>Jakość, funkcjonalność,</w:t>
      </w:r>
    </w:p>
    <w:p>
      <w:pPr>
        <w:pStyle w:val="Normal"/>
        <w:keepLines/>
        <w:spacing w:lineRule="auto" w:line="276"/>
        <w:ind w:firstLine="567" w:left="142"/>
        <w:jc w:val="both"/>
        <w:rPr>
          <w:rFonts w:ascii="Cambria" w:hAnsi="Cambria" w:asciiTheme="majorHAnsi" w:hAnsiTheme="majorHAnsi"/>
        </w:rPr>
      </w:pPr>
      <w:r>
        <w:rPr>
          <w:rFonts w:ascii="Cambria" w:hAnsi="Cambria" w:asciiTheme="majorHAnsi" w:hAnsiTheme="majorHAnsi"/>
        </w:rPr>
        <w:t>3)</w:t>
        <w:tab/>
        <w:t>Parametry techniczne,</w:t>
      </w:r>
    </w:p>
    <w:p>
      <w:pPr>
        <w:pStyle w:val="Normal"/>
        <w:keepLines/>
        <w:spacing w:lineRule="auto" w:line="276"/>
        <w:ind w:firstLine="567" w:left="142"/>
        <w:jc w:val="both"/>
        <w:rPr>
          <w:rFonts w:ascii="Cambria" w:hAnsi="Cambria" w:asciiTheme="majorHAnsi" w:hAnsiTheme="majorHAnsi"/>
        </w:rPr>
      </w:pPr>
      <w:r>
        <w:rPr>
          <w:rFonts w:ascii="Cambria" w:hAnsi="Cambria" w:asciiTheme="majorHAnsi" w:hAnsiTheme="majorHAnsi"/>
        </w:rPr>
        <w:t>4)</w:t>
        <w:tab/>
        <w:t>Aspekty środowiskowe, społeczne, innowacyjne,</w:t>
      </w:r>
    </w:p>
    <w:p>
      <w:pPr>
        <w:pStyle w:val="Normal"/>
        <w:keepLines/>
        <w:spacing w:lineRule="auto" w:line="276"/>
        <w:ind w:hanging="142" w:left="851"/>
        <w:jc w:val="both"/>
        <w:rPr>
          <w:rFonts w:ascii="Cambria" w:hAnsi="Cambria" w:asciiTheme="majorHAnsi" w:hAnsiTheme="majorHAnsi"/>
        </w:rPr>
      </w:pPr>
      <w:r>
        <w:rPr>
          <w:rFonts w:ascii="Cambria" w:hAnsi="Cambria" w:asciiTheme="majorHAnsi" w:hAnsiTheme="majorHAnsi"/>
        </w:rPr>
        <w:t>5)</w:t>
        <w:tab/>
        <w:t>Kwalifikacje zawodowe i doświadczenie osób kierowanych do realizacji zamówienia o ile mogą mieć znaczący wpływ na jakość nabywanego świadczenia,</w:t>
      </w:r>
    </w:p>
    <w:p>
      <w:pPr>
        <w:pStyle w:val="Normal"/>
        <w:keepLines/>
        <w:spacing w:lineRule="auto" w:line="276"/>
        <w:ind w:firstLine="567" w:left="142"/>
        <w:jc w:val="both"/>
        <w:rPr>
          <w:rFonts w:ascii="Cambria" w:hAnsi="Cambria" w:asciiTheme="majorHAnsi" w:hAnsiTheme="majorHAnsi"/>
        </w:rPr>
      </w:pPr>
      <w:r>
        <w:rPr>
          <w:rFonts w:ascii="Cambria" w:hAnsi="Cambria" w:asciiTheme="majorHAnsi" w:hAnsiTheme="majorHAnsi"/>
        </w:rPr>
        <w:t>6)</w:t>
        <w:tab/>
        <w:t>Koszty eksploatacji,</w:t>
      </w:r>
    </w:p>
    <w:p>
      <w:pPr>
        <w:pStyle w:val="Normal"/>
        <w:keepLines/>
        <w:spacing w:lineRule="auto" w:line="276"/>
        <w:ind w:firstLine="567" w:left="142"/>
        <w:jc w:val="both"/>
        <w:rPr>
          <w:rFonts w:ascii="Cambria" w:hAnsi="Cambria" w:asciiTheme="majorHAnsi" w:hAnsiTheme="majorHAnsi"/>
        </w:rPr>
      </w:pPr>
      <w:r>
        <w:rPr>
          <w:rFonts w:ascii="Cambria" w:hAnsi="Cambria" w:asciiTheme="majorHAnsi" w:hAnsiTheme="majorHAnsi"/>
        </w:rPr>
        <w:t>7)</w:t>
        <w:tab/>
        <w:t>Serwis,</w:t>
      </w:r>
    </w:p>
    <w:p>
      <w:pPr>
        <w:pStyle w:val="Normal"/>
        <w:keepLines/>
        <w:spacing w:lineRule="auto" w:line="276"/>
        <w:ind w:firstLine="567" w:left="142"/>
        <w:jc w:val="both"/>
        <w:rPr>
          <w:rFonts w:ascii="Cambria" w:hAnsi="Cambria" w:asciiTheme="majorHAnsi" w:hAnsiTheme="majorHAnsi"/>
        </w:rPr>
      </w:pPr>
      <w:r>
        <w:rPr>
          <w:rFonts w:ascii="Cambria" w:hAnsi="Cambria" w:asciiTheme="majorHAnsi" w:hAnsiTheme="majorHAnsi"/>
        </w:rPr>
        <w:t>8)</w:t>
        <w:tab/>
        <w:t>Termin wykonania zamówienia,</w:t>
      </w:r>
    </w:p>
    <w:p>
      <w:pPr>
        <w:pStyle w:val="Normal"/>
        <w:keepLines/>
        <w:spacing w:lineRule="auto" w:line="276"/>
        <w:ind w:firstLine="567" w:left="142"/>
        <w:jc w:val="both"/>
        <w:rPr>
          <w:rFonts w:ascii="Cambria" w:hAnsi="Cambria" w:asciiTheme="majorHAnsi" w:hAnsiTheme="majorHAnsi"/>
        </w:rPr>
      </w:pPr>
      <w:r>
        <w:rPr>
          <w:rFonts w:ascii="Cambria" w:hAnsi="Cambria" w:asciiTheme="majorHAnsi" w:hAnsiTheme="majorHAnsi"/>
        </w:rPr>
        <w:t>9)</w:t>
        <w:tab/>
        <w:t>Sposób realizacji zamówienia.</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 xml:space="preserve">5. </w:t>
      </w:r>
      <w:r>
        <w:rPr>
          <w:rFonts w:ascii="Cambria" w:hAnsi="Cambria" w:asciiTheme="majorHAnsi" w:hAnsiTheme="majorHAnsi"/>
          <w:color w:val="000000"/>
          <w:u w:val="none" w:color="000000"/>
        </w:rPr>
        <w:t>Wykonawca składa ofertę, pod rygorem nieważności, w formie określonej w zapytaniu ofertowym.</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6. </w:t>
      </w:r>
      <w:r>
        <w:rPr>
          <w:rFonts w:ascii="Cambria" w:hAnsi="Cambria" w:asciiTheme="majorHAnsi" w:hAnsiTheme="majorHAnsi"/>
          <w:color w:val="000000"/>
          <w:u w:val="none" w:color="000000"/>
        </w:rPr>
        <w:t>W przypadku, gdy oferta wpłynie do zamawiającego po terminie przewidzianym do składania ofert, nie jest brana pod uwagę przez zamawiającego.</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7. </w:t>
      </w:r>
      <w:r>
        <w:rPr>
          <w:rFonts w:ascii="Cambria" w:hAnsi="Cambria" w:asciiTheme="majorHAnsi" w:hAnsiTheme="majorHAnsi"/>
          <w:color w:val="000000"/>
          <w:u w:val="none" w:color="000000"/>
        </w:rPr>
        <w:t>Dopuszcza się możliwość negocjacji w celu uzyskania korzystniejszej oferty.</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8. </w:t>
      </w:r>
      <w:r>
        <w:rPr>
          <w:rFonts w:ascii="Cambria" w:hAnsi="Cambria" w:asciiTheme="majorHAnsi" w:hAnsiTheme="majorHAnsi"/>
          <w:color w:val="000000"/>
          <w:u w:val="none" w:color="000000"/>
        </w:rPr>
        <w:t>Zamawiający podpisuje umowę z wykonawcą, który spełnił warunki określone                       w zaproszeniu i złożył najkorzystniejszą ofertę.</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9. </w:t>
      </w:r>
      <w:r>
        <w:rPr>
          <w:rFonts w:ascii="Cambria" w:hAnsi="Cambria" w:asciiTheme="majorHAnsi" w:hAnsiTheme="majorHAnsi"/>
          <w:color w:val="000000"/>
          <w:u w:val="none" w:color="000000"/>
        </w:rPr>
        <w:t>Do udzielenia zamówienia wystarczającym jest, aby została złożona tylko jedna oferta.</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10. </w:t>
      </w:r>
      <w:r>
        <w:rPr>
          <w:rFonts w:ascii="Cambria" w:hAnsi="Cambria" w:asciiTheme="majorHAnsi" w:hAnsiTheme="majorHAnsi"/>
          <w:color w:val="000000"/>
          <w:u w:val="none" w:color="000000"/>
        </w:rPr>
        <w:t>Zamawiający zobowiązany jest do uzyskania faktury lub rachunku potwierdzającego zrealizowanie umowy i wydatkowanie środków.</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11. </w:t>
      </w:r>
      <w:r>
        <w:rPr>
          <w:rFonts w:ascii="Cambria" w:hAnsi="Cambria" w:asciiTheme="majorHAnsi" w:hAnsiTheme="majorHAnsi"/>
          <w:color w:val="000000"/>
          <w:u w:val="none" w:color="000000"/>
        </w:rPr>
        <w:t>W przypadku, gdy do upływu terminu składania ofert nie wpłynie żadna oferta zamawiający unieważnia postępowanie i udziela zamówienia wykonawcy wybranemu bez ponownego stosowania niniejszego Regulaminu.</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12. </w:t>
      </w:r>
      <w:r>
        <w:rPr>
          <w:rFonts w:ascii="Cambria" w:hAnsi="Cambria" w:asciiTheme="majorHAnsi" w:hAnsiTheme="majorHAnsi"/>
          <w:color w:val="000000"/>
          <w:u w:val="none" w:color="000000"/>
        </w:rPr>
        <w:t>Jeżeli wartość danego zamówienia przekracza 80 000 zł wymagane jest zawarcie umowy w formie pisemnej.</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13. </w:t>
      </w:r>
      <w:r>
        <w:rPr>
          <w:rFonts w:ascii="Cambria" w:hAnsi="Cambria" w:asciiTheme="majorHAnsi" w:hAnsiTheme="majorHAnsi"/>
          <w:color w:val="000000"/>
          <w:u w:val="none" w:color="000000"/>
        </w:rPr>
        <w:t>W uzasadnionych przypadkach dopuszcza się udzielenie zamówienia, o którym mowa w ust. 11, bez zawierania umowy w formie pisemnej. W takiej sytuacji komórka organizacyjna zobowiązana jest do sporządzenia wniosku o zgodę na odstąpienie od zawarcia umowy w formie pisemnej wraz z uzasadnieniem i uzyskania jej od kierownika zamawiającego.</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14. </w:t>
      </w:r>
      <w:r>
        <w:rPr>
          <w:rFonts w:ascii="Cambria" w:hAnsi="Cambria" w:asciiTheme="majorHAnsi" w:hAnsiTheme="majorHAnsi"/>
          <w:color w:val="000000"/>
          <w:u w:val="none" w:color="000000"/>
        </w:rPr>
        <w:t>Dokument stwierdzający uzyskanie wymaganej zgody należy dołączyć do dokumentacji postępowania</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15. </w:t>
      </w:r>
      <w:r>
        <w:rPr>
          <w:rFonts w:ascii="Cambria" w:hAnsi="Cambria" w:asciiTheme="majorHAnsi" w:hAnsiTheme="majorHAnsi"/>
          <w:color w:val="000000"/>
          <w:u w:val="none" w:color="000000"/>
        </w:rPr>
        <w:t>Komórka organizacyjna zobowiązana jest uwzględnić, że niezależnie od wartości zamówienia sporządzenie umowy w formie pisemnej jest konieczne zawsze, gdy:</w:t>
      </w:r>
    </w:p>
    <w:p>
      <w:pPr>
        <w:pStyle w:val="Normal"/>
        <w:spacing w:lineRule="auto" w:line="276"/>
        <w:ind w:left="851"/>
        <w:jc w:val="both"/>
        <w:rPr>
          <w:rFonts w:ascii="Cambria" w:hAnsi="Cambria" w:asciiTheme="majorHAnsi" w:hAnsiTheme="majorHAnsi"/>
          <w:color w:val="000000"/>
          <w:u w:val="none" w:color="000000"/>
        </w:rPr>
      </w:pPr>
      <w:r>
        <w:rPr>
          <w:rFonts w:ascii="Cambria" w:hAnsi="Cambria" w:asciiTheme="majorHAnsi" w:hAnsiTheme="majorHAnsi"/>
        </w:rPr>
        <w:t>1) </w:t>
      </w:r>
      <w:r>
        <w:rPr>
          <w:rFonts w:ascii="Cambria" w:hAnsi="Cambria" w:asciiTheme="majorHAnsi" w:hAnsiTheme="majorHAnsi"/>
          <w:color w:val="000000"/>
          <w:u w:val="none" w:color="000000"/>
        </w:rPr>
        <w:t>konieczność zastosowania co najmniej zwykłej formy pisemnej wynika</w:t>
        <w:br/>
        <w:t>z obowiązujących przepisów;</w:t>
      </w:r>
    </w:p>
    <w:p>
      <w:pPr>
        <w:pStyle w:val="Normal"/>
        <w:spacing w:lineRule="auto" w:line="276"/>
        <w:ind w:left="851"/>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jest to uzasadnione specyfiką samego przedmiotu zamówienia lub jego istotnymi okolicznościami (dotyczącymi w szczególności kwestii sposobu dostawy i odbioru, ubezpieczenia, gwarancji, płatności i kar umownych);</w:t>
      </w:r>
    </w:p>
    <w:p>
      <w:pPr>
        <w:pStyle w:val="Normal"/>
        <w:spacing w:lineRule="auto" w:line="276"/>
        <w:ind w:left="851"/>
        <w:jc w:val="both"/>
        <w:rPr>
          <w:rFonts w:ascii="Cambria" w:hAnsi="Cambria" w:asciiTheme="majorHAnsi" w:hAnsiTheme="majorHAnsi"/>
          <w:color w:val="000000"/>
          <w:u w:val="none" w:color="000000"/>
        </w:rPr>
      </w:pPr>
      <w:r>
        <w:rPr>
          <w:rFonts w:ascii="Cambria" w:hAnsi="Cambria" w:asciiTheme="majorHAnsi" w:hAnsiTheme="majorHAnsi"/>
        </w:rPr>
        <w:t>3) </w:t>
      </w:r>
      <w:r>
        <w:rPr>
          <w:rFonts w:ascii="Cambria" w:hAnsi="Cambria" w:asciiTheme="majorHAnsi" w:hAnsiTheme="majorHAnsi"/>
          <w:color w:val="000000"/>
          <w:u w:val="none" w:color="000000"/>
        </w:rPr>
        <w:t>przemawia za tym potrzeba należytego zabezpieczenia interesów gminy.</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16. </w:t>
      </w:r>
      <w:r>
        <w:rPr>
          <w:rFonts w:ascii="Cambria" w:hAnsi="Cambria" w:asciiTheme="majorHAnsi" w:hAnsiTheme="majorHAnsi"/>
          <w:color w:val="000000"/>
          <w:u w:val="none" w:color="000000"/>
        </w:rPr>
        <w:t>W przypadku konieczności sporządzenia umowy w formie pisemnej zastosowanie ma przyjęta u zamawiającego procedura obiegu i weryfikowania umów.</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8. </w:t>
      </w:r>
      <w:r>
        <w:rPr>
          <w:rFonts w:ascii="Cambria" w:hAnsi="Cambria" w:asciiTheme="majorHAnsi" w:hAnsiTheme="majorHAnsi"/>
        </w:rPr>
        <w:t>1. </w:t>
      </w:r>
      <w:r>
        <w:rPr>
          <w:rFonts w:ascii="Cambria" w:hAnsi="Cambria" w:asciiTheme="majorHAnsi" w:hAnsiTheme="majorHAnsi"/>
          <w:color w:val="000000"/>
          <w:u w:val="none" w:color="000000"/>
        </w:rPr>
        <w:t>Komórka organizacyjna dokumentuje czynności ustalenia szacunkowej wartości zamówienia oraz przeprowadza procedury udzielenia zamówienia w sposób pozwalający na ich weryfikację pod kątem zachowania zasad, o których mowa w § 3.</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Dokumentację z przeprowadzonych czynności, o których mowa w ust.1 przechowuje komórka organizacyjna przez okres co najmniej 4 lat od udzielenia zamówienia.</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9. </w:t>
      </w:r>
      <w:r>
        <w:rPr>
          <w:rFonts w:ascii="Cambria" w:hAnsi="Cambria" w:asciiTheme="majorHAnsi" w:hAnsiTheme="majorHAnsi"/>
        </w:rPr>
        <w:t>1. </w:t>
      </w:r>
      <w:r>
        <w:rPr>
          <w:rFonts w:ascii="Cambria" w:hAnsi="Cambria" w:asciiTheme="majorHAnsi" w:hAnsiTheme="majorHAnsi"/>
          <w:color w:val="000000"/>
          <w:u w:val="none" w:color="000000"/>
        </w:rPr>
        <w:t>Kierownik zamawiającego może unieważnić postępowanie o udzielenie zamówienia jeżeli:</w:t>
      </w:r>
    </w:p>
    <w:p>
      <w:pPr>
        <w:pStyle w:val="Normal"/>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1) </w:t>
      </w:r>
      <w:r>
        <w:rPr>
          <w:rFonts w:ascii="Cambria" w:hAnsi="Cambria" w:asciiTheme="majorHAnsi" w:hAnsiTheme="majorHAnsi"/>
          <w:color w:val="000000"/>
          <w:u w:val="none" w:color="000000"/>
        </w:rPr>
        <w:t>cena najkorzystniejszej oferty przewyższa kwotę, którą zamawiający zamierza przeznaczyć na sfinansowanie zamówienia, chyba że zamawiający może zwiększyć tą kwotę do ceny najkorzystniejszej oferty;</w:t>
      </w:r>
    </w:p>
    <w:p>
      <w:pPr>
        <w:pStyle w:val="Normal"/>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wystąpiła istotna zmiana okoliczności  powodująca, że wykonanie zamówienia nie leży w interesie zamawiającego;</w:t>
      </w:r>
    </w:p>
    <w:p>
      <w:pPr>
        <w:pStyle w:val="Normal"/>
        <w:spacing w:lineRule="auto" w:line="276"/>
        <w:ind w:left="567"/>
        <w:jc w:val="both"/>
        <w:rPr>
          <w:rFonts w:ascii="Cambria" w:hAnsi="Cambria" w:asciiTheme="majorHAnsi" w:hAnsiTheme="majorHAnsi"/>
          <w:color w:val="000000"/>
          <w:u w:val="none" w:color="000000"/>
        </w:rPr>
      </w:pPr>
      <w:r>
        <w:rPr>
          <w:rFonts w:ascii="Cambria" w:hAnsi="Cambria" w:asciiTheme="majorHAnsi" w:hAnsiTheme="majorHAnsi"/>
        </w:rPr>
        <w:t>3) </w:t>
      </w:r>
      <w:r>
        <w:rPr>
          <w:rFonts w:ascii="Cambria" w:hAnsi="Cambria" w:asciiTheme="majorHAnsi" w:hAnsiTheme="majorHAnsi"/>
          <w:color w:val="000000"/>
          <w:u w:val="none" w:color="000000"/>
        </w:rPr>
        <w:t>w innych uzasadnionych przypadkach, które zostały określone w zapytaniu ofertowym.</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O unieważnieniu postępowania zamawiający  zawiadamia równocześnie wszystkich wykonawców którzy ubiegali się o udzielenie zamówienia podając uzasadnienie.</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10. </w:t>
      </w:r>
      <w:r>
        <w:rPr>
          <w:rFonts w:ascii="Cambria" w:hAnsi="Cambria" w:asciiTheme="majorHAnsi" w:hAnsiTheme="majorHAnsi"/>
        </w:rPr>
        <w:t>1. </w:t>
      </w:r>
      <w:r>
        <w:rPr>
          <w:rFonts w:ascii="Cambria" w:hAnsi="Cambria" w:asciiTheme="majorHAnsi" w:hAnsiTheme="majorHAnsi"/>
          <w:color w:val="000000"/>
          <w:u w:val="none" w:color="000000"/>
        </w:rPr>
        <w:t>W szczególnie uzasadnionych przypadkach kierownik zamawiającego może podjąć decyzję o odstąpieniu od stosowania Regulaminu, z zastrzeżeniem  § 10 ust. 2 i 3.</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Udzielenia zamówienia w przypadku, o którym mowa w ust.1, dokonuje się w postaci notatki służbowej, podlegającej zatwierdzeniu przez kierownika zamawiającego lub upoważnioną przez niego osobę. W notatce służbowej należy w szczególności wskazać okoliczności uzasadniające odstąpienie od stosowania regulaminu. Notatkę  służbową przechowuje się przez okres co najmniej 4 lat od udzielenia zamówienia.</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3. </w:t>
      </w:r>
      <w:r>
        <w:rPr>
          <w:rFonts w:ascii="Cambria" w:hAnsi="Cambria" w:asciiTheme="majorHAnsi" w:hAnsiTheme="majorHAnsi"/>
          <w:color w:val="000000"/>
          <w:u w:val="none" w:color="000000"/>
        </w:rPr>
        <w:t>Udzielenie zamówienia w przypadku, o którym mowa w ust.1 nie zwalnia od stosowania zasad dokonywania wydatków wynikających z innych aktów prawnych,             w szczególności dotyczących finansów publicznych, a także wytycznych wynikających z przepisów prawnych i dokumentów określających sposób udzielania zamówień współfinansowanych ze środków europejskich lub innych mechanizmów finansowych.</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11. </w:t>
      </w:r>
      <w:r>
        <w:rPr>
          <w:rFonts w:ascii="Cambria" w:hAnsi="Cambria" w:asciiTheme="majorHAnsi" w:hAnsiTheme="majorHAnsi"/>
        </w:rPr>
        <w:t>1. </w:t>
      </w:r>
      <w:r>
        <w:rPr>
          <w:rFonts w:ascii="Cambria" w:hAnsi="Cambria" w:asciiTheme="majorHAnsi" w:hAnsiTheme="majorHAnsi"/>
          <w:color w:val="000000"/>
          <w:u w:val="none" w:color="000000"/>
        </w:rPr>
        <w:t>Do umów zawieranych w sprawie zamówień o wartości szacunkowej nie przekraczającej kwoty 170 000 złotych netto stosuje się przepisy kodeksu cywilnego.</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rPr>
        <w:t>2. </w:t>
      </w:r>
      <w:r>
        <w:rPr>
          <w:rFonts w:ascii="Cambria" w:hAnsi="Cambria" w:asciiTheme="majorHAnsi" w:hAnsiTheme="majorHAnsi"/>
          <w:color w:val="000000"/>
          <w:u w:val="none" w:color="000000"/>
        </w:rPr>
        <w:t>Wzór umowy z Wykonawcą określającej warunki płatności i realizacji zamówienia powinien być sprawdzony i parafowany przez służby prawne zamawiającego.</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12. </w:t>
      </w:r>
      <w:r>
        <w:rPr>
          <w:rFonts w:ascii="Cambria" w:hAnsi="Cambria" w:asciiTheme="majorHAnsi" w:hAnsiTheme="majorHAnsi"/>
          <w:color w:val="000000"/>
          <w:u w:val="none" w:color="000000"/>
        </w:rPr>
        <w:t>Każda komórka organizacyjna zobowiązana jest do dokonania opisu faktury lub rachunku potwierdzającego wydatkowanie środków zgodnie z przeznaczeniem oraz ustawą Prawo zamówień publicznych.</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13. </w:t>
      </w:r>
      <w:r>
        <w:rPr>
          <w:rFonts w:ascii="Cambria" w:hAnsi="Cambria" w:asciiTheme="majorHAnsi" w:hAnsiTheme="majorHAnsi"/>
          <w:color w:val="000000"/>
          <w:u w:val="none" w:color="000000"/>
        </w:rPr>
        <w:t xml:space="preserve">Dla wszystkich zamówień o wartości szacunkowej nie przekraczającej kwoty 170 000 złotych każda komórka organizacyjna prowadzi odrębny rejestr zamówień z którego </w:t>
      </w:r>
      <w:r>
        <w:rPr>
          <w:rFonts w:ascii="Cambria" w:hAnsi="Cambria" w:asciiTheme="majorHAnsi" w:hAnsiTheme="majorHAnsi"/>
          <w:b/>
          <w:color w:val="000000"/>
          <w:u w:val="none" w:color="000000"/>
        </w:rPr>
        <w:t>sporządza roczne zestawienie udzielonych zamówień za rok poprzedni i przedkłada je do pracownika Urzędu Gminy odpowiedzialnego za zamówienia publiczne w nieprzekraczalnym terminie do końca stycznia roku bieżącego.</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Cambria" w:hAnsi="Cambria" w:asciiTheme="majorHAnsi" w:hAnsiTheme="majorHAnsi"/>
          <w:b/>
        </w:rPr>
        <w:t xml:space="preserve">§ 14.  </w:t>
      </w:r>
      <w:r>
        <w:rPr>
          <w:rFonts w:ascii="Cambria" w:hAnsi="Cambria" w:asciiTheme="majorHAnsi" w:hAnsiTheme="majorHAnsi"/>
          <w:color w:val="000000"/>
          <w:u w:val="none" w:color="000000"/>
        </w:rPr>
        <w:t>W przypadku zamówień dotyczących: usług bankowych oraz pożyczek bankowych, obsługi prawnej, zakupu dostępu do serwisu informacji prawnej, usług pocztowych, usług wyłapywania i przetrzymywania bezdomnych zwierząt, zakupu paliwa gazowego,  realizacji zadań z funduszu sołeckiego, usług telekomunikacyjnych, usług związanych z archiwizacją i weryfikacja dokumentacji wytworzonej w  Urzędzie Gminy Gorzkowice kierownik zamawiającego może udzielić zamówienia o wartości równej lub przekraczającej kwotę 80 000 złotych bez stosowania zasad określonych w § 7  niniejszego regulaminu za wyjątkiem podpisania z  wykonawcą umowy oraz uzyskania faktury lub rachunku potwierdzającego zrealizowanie umowy i wydatkowanie środków.</w:t>
      </w:r>
    </w:p>
    <w:p>
      <w:pPr>
        <w:pStyle w:val="Normal"/>
        <w:keepLines/>
        <w:spacing w:lineRule="auto" w:line="276"/>
        <w:ind w:firstLine="340" w:left="142"/>
        <w:jc w:val="both"/>
        <w:rPr>
          <w:rFonts w:ascii="Cambria" w:hAnsi="Cambria" w:asciiTheme="majorHAnsi" w:hAnsiTheme="majorHAnsi"/>
          <w:u w:val="none" w:color="000000"/>
        </w:rPr>
      </w:pPr>
      <w:r>
        <w:rPr>
          <w:rFonts w:ascii="Cambria" w:hAnsi="Cambria" w:asciiTheme="majorHAnsi" w:hAnsiTheme="majorHAnsi"/>
          <w:b/>
        </w:rPr>
        <w:t>§ 15. </w:t>
      </w:r>
      <w:r>
        <w:rPr>
          <w:rFonts w:ascii="Cambria" w:hAnsi="Cambria" w:asciiTheme="majorHAnsi" w:hAnsiTheme="majorHAnsi"/>
        </w:rPr>
        <w:t xml:space="preserve">Zamówienia współfinansowane ze środków europejskich lub innych mechanizmów finansowych udzielane są na podstawie niniejszego Zarządzenia z zachowaniem wytycznych wynikających z przepisów prawnych i dokumentów określających sposób udzielania takich zamówień. W przypadku rozbieżności pomiędzy postanowieniami  niniejszego Zarządzenia               </w:t>
      </w:r>
      <w:bookmarkStart w:id="0" w:name="_GoBack"/>
      <w:bookmarkEnd w:id="0"/>
      <w:r>
        <w:rPr>
          <w:rFonts w:ascii="Cambria" w:hAnsi="Cambria" w:asciiTheme="majorHAnsi" w:hAnsiTheme="majorHAnsi"/>
        </w:rPr>
        <w:t>a wytycznymi dotyczącymi zamówień współfinansowanych ze środków europejskich lub innych mechanizmów finansowych, zastosowanie znajdują postanowienia wytycznych.</w:t>
      </w:r>
    </w:p>
    <w:p>
      <w:pPr>
        <w:pStyle w:val="Normal"/>
        <w:keepLines/>
        <w:spacing w:lineRule="auto" w:line="276"/>
        <w:ind w:firstLine="340" w:left="142"/>
        <w:jc w:val="both"/>
        <w:rPr>
          <w:rFonts w:ascii="Cambria" w:hAnsi="Cambria" w:asciiTheme="majorHAnsi" w:hAnsiTheme="majorHAnsi"/>
          <w:color w:val="000000"/>
          <w:u w:val="none" w:color="000000"/>
        </w:rPr>
      </w:pPr>
      <w:r>
        <w:rPr>
          <w:rFonts w:asciiTheme="majorHAnsi" w:hAnsiTheme="majorHAnsi" w:ascii="Cambria" w:hAnsi="Cambria"/>
          <w:color w:val="000000"/>
          <w:u w:val="none" w:color="000000"/>
        </w:rPr>
      </w:r>
    </w:p>
    <w:sectPr>
      <w:footerReference w:type="even" r:id="rId5"/>
      <w:footerReference w:type="default" r:id="rId6"/>
      <w:footerReference w:type="first" r:id="rId7"/>
      <w:type w:val="nextPage"/>
      <w:pgSz w:w="11906" w:h="16838"/>
      <w:pgMar w:left="1020" w:right="1020" w:gutter="0" w:header="0" w:top="567" w:footer="708" w:bottom="765"/>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Arial">
    <w:charset w:val="ee"/>
    <w:family w:val="swiss"/>
    <w:pitch w:val="variable"/>
  </w:font>
  <w:font w:name="Segoe UI">
    <w:charset w:val="ee"/>
    <w:family w:val="swiss"/>
    <w:pitch w:val="variable"/>
  </w:font>
  <w:font w:name="Liberation Sans">
    <w:altName w:val="Arial"/>
    <w:charset w:val="ee"/>
    <w:family w:val="swiss"/>
    <w:pitch w:val="variable"/>
  </w:font>
  <w:font w:name="Cambria">
    <w:charset w:val="ee"/>
    <w:family w:val="swiss"/>
    <w:pitch w:val="variable"/>
  </w:font>
  <w:font w:name="Cambria">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5000" w:type="pct"/>
      <w:jc w:val="left"/>
      <w:tblInd w:w="-108" w:type="dxa"/>
      <w:tblLayout w:type="fixed"/>
      <w:tblCellMar>
        <w:top w:w="100" w:type="dxa"/>
        <w:left w:w="0" w:type="dxa"/>
        <w:bottom w:w="0" w:type="dxa"/>
        <w:right w:w="0" w:type="dxa"/>
      </w:tblCellMar>
      <w:tblLook w:firstRow="1" w:noVBand="1" w:lastRow="0" w:firstColumn="1" w:lastColumn="0" w:noHBand="0" w:val="04a0"/>
    </w:tblPr>
    <w:tblGrid>
      <w:gridCol w:w="6576"/>
      <w:gridCol w:w="3289"/>
    </w:tblGrid>
    <w:tr>
      <w:trPr/>
      <w:tc>
        <w:tcPr>
          <w:tcW w:w="6576" w:type="dxa"/>
          <w:tcBorders>
            <w:top w:val="single" w:sz="4" w:space="0" w:color="000000"/>
          </w:tcBorders>
        </w:tcPr>
        <w:p>
          <w:pPr>
            <w:pStyle w:val="Normal"/>
            <w:rPr>
              <w:sz w:val="16"/>
            </w:rPr>
          </w:pPr>
          <w:r>
            <w:rPr>
              <w:sz w:val="16"/>
            </w:rPr>
          </w:r>
        </w:p>
      </w:tc>
      <w:tc>
        <w:tcPr>
          <w:tcW w:w="3289" w:type="dxa"/>
          <w:tcBorders>
            <w:top w:val="single" w:sz="4" w:space="0" w:color="000000"/>
          </w:tcBorders>
        </w:tcPr>
        <w:p>
          <w:pPr>
            <w:pStyle w:val="Normal"/>
            <w:jc w:val="right"/>
            <w:rPr>
              <w:sz w:val="16"/>
            </w:rPr>
          </w:pPr>
          <w:r>
            <w:rPr>
              <w:sz w:val="16"/>
            </w:rPr>
            <w:t xml:space="preserve">Strona </w:t>
          </w:r>
          <w:r>
            <w:rPr>
              <w:sz w:val="16"/>
            </w:rPr>
            <w:fldChar w:fldCharType="begin"/>
          </w:r>
          <w:r>
            <w:rPr>
              <w:sz w:val="16"/>
            </w:rPr>
            <w:instrText xml:space="preserve"> PAGE </w:instrText>
          </w:r>
          <w:r>
            <w:rPr>
              <w:sz w:val="16"/>
            </w:rPr>
            <w:fldChar w:fldCharType="separate"/>
          </w:r>
          <w:r>
            <w:rPr>
              <w:sz w:val="16"/>
            </w:rPr>
            <w:t>1</w:t>
          </w:r>
          <w:r>
            <w:rPr>
              <w:sz w:val="16"/>
            </w:rPr>
            <w:fldChar w:fldCharType="end"/>
          </w:r>
        </w:p>
      </w:tc>
    </w:tr>
  </w:tbl>
  <w:p>
    <w:pPr>
      <w:pStyle w:val="Normal"/>
      <w:rPr>
        <w:sz w:val="16"/>
      </w:rPr>
    </w:pPr>
    <w:r>
      <w:rPr>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5000" w:type="pct"/>
      <w:jc w:val="left"/>
      <w:tblInd w:w="-108" w:type="dxa"/>
      <w:tblLayout w:type="fixed"/>
      <w:tblCellMar>
        <w:top w:w="100" w:type="dxa"/>
        <w:left w:w="0" w:type="dxa"/>
        <w:bottom w:w="0" w:type="dxa"/>
        <w:right w:w="0" w:type="dxa"/>
      </w:tblCellMar>
      <w:tblLook w:firstRow="1" w:noVBand="1" w:lastRow="0" w:firstColumn="1" w:lastColumn="0" w:noHBand="0" w:val="04a0"/>
    </w:tblPr>
    <w:tblGrid>
      <w:gridCol w:w="6576"/>
      <w:gridCol w:w="3289"/>
    </w:tblGrid>
    <w:tr>
      <w:trPr/>
      <w:tc>
        <w:tcPr>
          <w:tcW w:w="6576" w:type="dxa"/>
          <w:tcBorders>
            <w:top w:val="single" w:sz="4" w:space="0" w:color="000000"/>
          </w:tcBorders>
        </w:tcPr>
        <w:p>
          <w:pPr>
            <w:pStyle w:val="Normal"/>
            <w:rPr>
              <w:sz w:val="16"/>
            </w:rPr>
          </w:pPr>
          <w:r>
            <w:rPr>
              <w:sz w:val="16"/>
            </w:rPr>
          </w:r>
        </w:p>
      </w:tc>
      <w:tc>
        <w:tcPr>
          <w:tcW w:w="3289" w:type="dxa"/>
          <w:tcBorders>
            <w:top w:val="single" w:sz="4" w:space="0" w:color="000000"/>
          </w:tcBorders>
        </w:tcPr>
        <w:p>
          <w:pPr>
            <w:pStyle w:val="Normal"/>
            <w:jc w:val="right"/>
            <w:rPr>
              <w:sz w:val="16"/>
            </w:rPr>
          </w:pPr>
          <w:r>
            <w:rPr>
              <w:sz w:val="16"/>
            </w:rPr>
            <w:t xml:space="preserve">Strona </w:t>
          </w:r>
          <w:r>
            <w:rPr>
              <w:sz w:val="16"/>
            </w:rPr>
            <w:fldChar w:fldCharType="begin"/>
          </w:r>
          <w:r>
            <w:rPr>
              <w:sz w:val="16"/>
            </w:rPr>
            <w:instrText xml:space="preserve"> PAGE </w:instrText>
          </w:r>
          <w:r>
            <w:rPr>
              <w:sz w:val="16"/>
            </w:rPr>
            <w:fldChar w:fldCharType="separate"/>
          </w:r>
          <w:r>
            <w:rPr>
              <w:sz w:val="16"/>
            </w:rPr>
            <w:t>1</w:t>
          </w:r>
          <w:r>
            <w:rPr>
              <w:sz w:val="16"/>
            </w:rPr>
            <w:fldChar w:fldCharType="end"/>
          </w:r>
        </w:p>
      </w:tc>
    </w:tr>
  </w:tbl>
  <w:p>
    <w:pPr>
      <w:pStyle w:val="Normal"/>
      <w:rPr>
        <w:sz w:val="16"/>
      </w:rPr>
    </w:pPr>
    <w:r>
      <w:rPr>
        <w:sz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5000" w:type="pct"/>
      <w:jc w:val="left"/>
      <w:tblInd w:w="-108" w:type="dxa"/>
      <w:tblLayout w:type="fixed"/>
      <w:tblCellMar>
        <w:top w:w="100" w:type="dxa"/>
        <w:left w:w="0" w:type="dxa"/>
        <w:bottom w:w="0" w:type="dxa"/>
        <w:right w:w="0" w:type="dxa"/>
      </w:tblCellMar>
      <w:tblLook w:firstRow="1" w:noVBand="1" w:lastRow="0" w:firstColumn="1" w:lastColumn="0" w:noHBand="0" w:val="04a0"/>
    </w:tblPr>
    <w:tblGrid>
      <w:gridCol w:w="6576"/>
      <w:gridCol w:w="3289"/>
    </w:tblGrid>
    <w:tr>
      <w:trPr/>
      <w:tc>
        <w:tcPr>
          <w:tcW w:w="6576" w:type="dxa"/>
          <w:tcBorders>
            <w:top w:val="single" w:sz="4" w:space="0" w:color="000000"/>
          </w:tcBorders>
        </w:tcPr>
        <w:p>
          <w:pPr>
            <w:pStyle w:val="Normal"/>
            <w:rPr>
              <w:sz w:val="16"/>
            </w:rPr>
          </w:pPr>
          <w:r>
            <w:rPr>
              <w:sz w:val="16"/>
            </w:rPr>
          </w:r>
        </w:p>
      </w:tc>
      <w:tc>
        <w:tcPr>
          <w:tcW w:w="3289" w:type="dxa"/>
          <w:tcBorders>
            <w:top w:val="single" w:sz="4" w:space="0" w:color="000000"/>
          </w:tcBorders>
        </w:tcPr>
        <w:p>
          <w:pPr>
            <w:pStyle w:val="Normal"/>
            <w:jc w:val="right"/>
            <w:rPr>
              <w:sz w:val="16"/>
            </w:rPr>
          </w:pPr>
          <w:r>
            <w:rPr>
              <w:sz w:val="16"/>
            </w:rPr>
            <w:t xml:space="preserve">Strona </w:t>
          </w:r>
          <w:r>
            <w:rPr>
              <w:sz w:val="16"/>
            </w:rPr>
            <w:fldChar w:fldCharType="begin"/>
          </w:r>
          <w:r>
            <w:rPr>
              <w:sz w:val="16"/>
            </w:rPr>
            <w:instrText xml:space="preserve"> PAGE </w:instrText>
          </w:r>
          <w:r>
            <w:rPr>
              <w:sz w:val="16"/>
            </w:rPr>
            <w:fldChar w:fldCharType="separate"/>
          </w:r>
          <w:r>
            <w:rPr>
              <w:sz w:val="16"/>
            </w:rPr>
            <w:t>5</w:t>
          </w:r>
          <w:r>
            <w:rPr>
              <w:sz w:val="16"/>
            </w:rPr>
            <w:fldChar w:fldCharType="end"/>
          </w:r>
        </w:p>
      </w:tc>
    </w:tr>
  </w:tbl>
  <w:p>
    <w:pPr>
      <w:pStyle w:val="Normal"/>
      <w:rPr>
        <w:sz w:val="16"/>
      </w:rPr>
    </w:pPr>
    <w:r>
      <w:rPr>
        <w:sz w:val="16"/>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5000" w:type="pct"/>
      <w:jc w:val="left"/>
      <w:tblInd w:w="-108" w:type="dxa"/>
      <w:tblLayout w:type="fixed"/>
      <w:tblCellMar>
        <w:top w:w="100" w:type="dxa"/>
        <w:left w:w="0" w:type="dxa"/>
        <w:bottom w:w="0" w:type="dxa"/>
        <w:right w:w="0" w:type="dxa"/>
      </w:tblCellMar>
      <w:tblLook w:firstRow="1" w:noVBand="1" w:lastRow="0" w:firstColumn="1" w:lastColumn="0" w:noHBand="0" w:val="04a0"/>
    </w:tblPr>
    <w:tblGrid>
      <w:gridCol w:w="6576"/>
      <w:gridCol w:w="3289"/>
    </w:tblGrid>
    <w:tr>
      <w:trPr/>
      <w:tc>
        <w:tcPr>
          <w:tcW w:w="6576" w:type="dxa"/>
          <w:tcBorders>
            <w:top w:val="single" w:sz="4" w:space="0" w:color="000000"/>
          </w:tcBorders>
        </w:tcPr>
        <w:p>
          <w:pPr>
            <w:pStyle w:val="Normal"/>
            <w:rPr>
              <w:sz w:val="16"/>
            </w:rPr>
          </w:pPr>
          <w:r>
            <w:rPr>
              <w:sz w:val="16"/>
            </w:rPr>
          </w:r>
        </w:p>
      </w:tc>
      <w:tc>
        <w:tcPr>
          <w:tcW w:w="3289" w:type="dxa"/>
          <w:tcBorders>
            <w:top w:val="single" w:sz="4" w:space="0" w:color="000000"/>
          </w:tcBorders>
        </w:tcPr>
        <w:p>
          <w:pPr>
            <w:pStyle w:val="Normal"/>
            <w:jc w:val="right"/>
            <w:rPr>
              <w:sz w:val="16"/>
            </w:rPr>
          </w:pPr>
          <w:r>
            <w:rPr>
              <w:sz w:val="16"/>
            </w:rPr>
            <w:t xml:space="preserve">Strona </w:t>
          </w:r>
          <w:r>
            <w:rPr>
              <w:sz w:val="16"/>
            </w:rPr>
            <w:fldChar w:fldCharType="begin"/>
          </w:r>
          <w:r>
            <w:rPr>
              <w:sz w:val="16"/>
            </w:rPr>
            <w:instrText xml:space="preserve"> PAGE </w:instrText>
          </w:r>
          <w:r>
            <w:rPr>
              <w:sz w:val="16"/>
            </w:rPr>
            <w:fldChar w:fldCharType="separate"/>
          </w:r>
          <w:r>
            <w:rPr>
              <w:sz w:val="16"/>
            </w:rPr>
            <w:t>5</w:t>
          </w:r>
          <w:r>
            <w:rPr>
              <w:sz w:val="16"/>
            </w:rPr>
            <w:fldChar w:fldCharType="end"/>
          </w:r>
        </w:p>
      </w:tc>
    </w:tr>
  </w:tbl>
  <w:p>
    <w:pPr>
      <w:pStyle w:val="Normal"/>
      <w:rPr>
        <w:sz w:val="16"/>
      </w:rPr>
    </w:pPr>
    <w:r>
      <w:rPr>
        <w:sz w:val="16"/>
      </w:rPr>
    </w:r>
  </w:p>
</w:ftr>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pl-PL"/>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before="0" w:after="0"/>
      <w:jc w:val="left"/>
    </w:pPr>
    <w:rPr>
      <w:rFonts w:ascii="Arial" w:hAnsi="Arial" w:eastAsia="Arial" w:cs="Arial"/>
      <w:color w:val="auto"/>
      <w:kern w:val="0"/>
      <w:sz w:val="24"/>
      <w:szCs w:val="24"/>
      <w:lang w:val="pl-PL" w:eastAsia="pl-PL" w:bidi="pl-PL"/>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qFormat/>
    <w:rsid w:val="00233741"/>
    <w:rPr>
      <w:rFonts w:ascii="Arial" w:hAnsi="Arial" w:eastAsia="Arial" w:cs="Arial"/>
      <w:sz w:val="24"/>
      <w:szCs w:val="24"/>
    </w:rPr>
  </w:style>
  <w:style w:type="character" w:styleId="StopkaZnak" w:customStyle="1">
    <w:name w:val="Stopka Znak"/>
    <w:basedOn w:val="DefaultParagraphFont"/>
    <w:qFormat/>
    <w:rsid w:val="00233741"/>
    <w:rPr>
      <w:rFonts w:ascii="Arial" w:hAnsi="Arial" w:eastAsia="Arial" w:cs="Arial"/>
      <w:sz w:val="24"/>
      <w:szCs w:val="24"/>
    </w:rPr>
  </w:style>
  <w:style w:type="character" w:styleId="CommentReference">
    <w:name w:val="annotation reference"/>
    <w:basedOn w:val="DefaultParagraphFont"/>
    <w:semiHidden/>
    <w:unhideWhenUsed/>
    <w:qFormat/>
    <w:rsid w:val="00271932"/>
    <w:rPr>
      <w:sz w:val="16"/>
      <w:szCs w:val="16"/>
    </w:rPr>
  </w:style>
  <w:style w:type="character" w:styleId="TekstkomentarzaZnak" w:customStyle="1">
    <w:name w:val="Tekst komentarza Znak"/>
    <w:basedOn w:val="DefaultParagraphFont"/>
    <w:link w:val="CommentText"/>
    <w:semiHidden/>
    <w:qFormat/>
    <w:rsid w:val="00271932"/>
    <w:rPr>
      <w:rFonts w:ascii="Arial" w:hAnsi="Arial" w:eastAsia="Arial" w:cs="Arial"/>
    </w:rPr>
  </w:style>
  <w:style w:type="character" w:styleId="TematkomentarzaZnak" w:customStyle="1">
    <w:name w:val="Temat komentarza Znak"/>
    <w:basedOn w:val="TekstkomentarzaZnak"/>
    <w:link w:val="annotationsubject"/>
    <w:semiHidden/>
    <w:qFormat/>
    <w:rsid w:val="00271932"/>
    <w:rPr>
      <w:rFonts w:ascii="Arial" w:hAnsi="Arial" w:eastAsia="Arial" w:cs="Arial"/>
      <w:b/>
      <w:bCs/>
    </w:rPr>
  </w:style>
  <w:style w:type="character" w:styleId="TekstdymkaZnak" w:customStyle="1">
    <w:name w:val="Tekst dymka Znak"/>
    <w:basedOn w:val="DefaultParagraphFont"/>
    <w:link w:val="BalloonText"/>
    <w:semiHidden/>
    <w:qFormat/>
    <w:rsid w:val="00271932"/>
    <w:rPr>
      <w:rFonts w:ascii="Segoe UI" w:hAnsi="Segoe UI" w:eastAsia="Arial" w:cs="Segoe UI"/>
      <w:sz w:val="18"/>
      <w:szCs w:val="18"/>
    </w:rPr>
  </w:style>
  <w:style w:type="character" w:styleId="Znakiprzypiswkocowych">
    <w:name w:val="Znaki przypisów końcowych"/>
    <w:qFormat/>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Gwkaistopka">
    <w:name w:val="Główka i stopka"/>
    <w:basedOn w:val="Normal"/>
    <w:qFormat/>
    <w:pPr/>
    <w:rPr/>
  </w:style>
  <w:style w:type="paragraph" w:styleId="Header">
    <w:name w:val="header"/>
    <w:basedOn w:val="Normal"/>
    <w:link w:val="NagwekZnak"/>
    <w:unhideWhenUsed/>
    <w:rsid w:val="00233741"/>
    <w:pPr>
      <w:tabs>
        <w:tab w:val="clear" w:pos="720"/>
        <w:tab w:val="center" w:pos="4536" w:leader="none"/>
        <w:tab w:val="right" w:pos="9072" w:leader="none"/>
      </w:tabs>
    </w:pPr>
    <w:rPr/>
  </w:style>
  <w:style w:type="paragraph" w:styleId="Footer">
    <w:name w:val="footer"/>
    <w:basedOn w:val="Normal"/>
    <w:link w:val="StopkaZnak"/>
    <w:unhideWhenUsed/>
    <w:rsid w:val="00233741"/>
    <w:pPr>
      <w:tabs>
        <w:tab w:val="clear" w:pos="720"/>
        <w:tab w:val="center" w:pos="4536" w:leader="none"/>
        <w:tab w:val="right" w:pos="9072" w:leader="none"/>
      </w:tabs>
    </w:pPr>
    <w:rPr/>
  </w:style>
  <w:style w:type="paragraph" w:styleId="CommentText">
    <w:name w:val="annotation text"/>
    <w:basedOn w:val="Normal"/>
    <w:link w:val="TekstkomentarzaZnak"/>
    <w:semiHidden/>
    <w:unhideWhenUsed/>
    <w:rsid w:val="00271932"/>
    <w:pPr/>
    <w:rPr>
      <w:sz w:val="20"/>
      <w:szCs w:val="20"/>
    </w:rPr>
  </w:style>
  <w:style w:type="paragraph" w:styleId="annotationsubject">
    <w:name w:val="annotation subject"/>
    <w:basedOn w:val="CommentText"/>
    <w:next w:val="CommentText"/>
    <w:link w:val="TematkomentarzaZnak"/>
    <w:semiHidden/>
    <w:unhideWhenUsed/>
    <w:qFormat/>
    <w:rsid w:val="00271932"/>
    <w:pPr/>
    <w:rPr>
      <w:b/>
      <w:bCs/>
    </w:rPr>
  </w:style>
  <w:style w:type="paragraph" w:styleId="BalloonText">
    <w:name w:val="Balloon Text"/>
    <w:basedOn w:val="Normal"/>
    <w:link w:val="TekstdymkaZnak"/>
    <w:semiHidden/>
    <w:unhideWhenUsed/>
    <w:qFormat/>
    <w:rsid w:val="00271932"/>
    <w:pPr/>
    <w:rPr>
      <w:rFonts w:ascii="Segoe UI" w:hAnsi="Segoe UI" w:cs="Segoe UI"/>
      <w:sz w:val="18"/>
      <w:szCs w:val="18"/>
    </w:rPr>
  </w:style>
  <w:style w:type="numbering" w:styleId="Bezlisty" w:default="1">
    <w:name w:val="Bez listy"/>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32</TotalTime>
  <Application>LibreOffice/25.2.3.2$Windows_X86_64 LibreOffice_project/bbb074479178df812d175f709636b368952c2ce3</Application>
  <AppVersion>15.0000</AppVersion>
  <Pages>6</Pages>
  <Words>1914</Words>
  <Characters>12651</Characters>
  <CharactersWithSpaces>14627</CharactersWithSpaces>
  <Paragraphs>99</Paragraphs>
  <Company>Wójt Gminy Gomunice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Akt prawny</cp:category>
  <dcterms:created xsi:type="dcterms:W3CDTF">2026-02-06T06:57:00Z</dcterms:created>
  <dc:creator>szczepockaa</dc:creator>
  <dc:description/>
  <dc:language>pl-PL</dc:language>
  <cp:lastModifiedBy>Magda Gemel</cp:lastModifiedBy>
  <dcterms:modified xsi:type="dcterms:W3CDTF">2026-02-12T10:52:00Z</dcterms:modified>
  <cp:revision>5</cp:revision>
  <dc:subject>w sprawie regulaminu udzielania zamówień publicznych o^wartości szacunkowej
poniżej kwoty 170^000^złotych</dc:subject>
  <dc:title>Zarządzenie nr  2/2026 z dnia 20 stycznia 2026 r.</dc:title>
</cp:coreProperties>
</file>

<file path=docProps/custom.xml><?xml version="1.0" encoding="utf-8"?>
<Properties xmlns="http://schemas.openxmlformats.org/officeDocument/2006/custom-properties" xmlns:vt="http://schemas.openxmlformats.org/officeDocument/2006/docPropsVTypes"/>
</file>