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  <w:t>Wnioski zaznaczone kolorem:</w:t>
      </w:r>
    </w:p>
    <w:p>
      <w:pPr>
        <w:pStyle w:val="Normal"/>
        <w:spacing w:lineRule="auto" w:line="360" w:before="0" w:after="0"/>
        <w:ind w:hanging="711" w:left="2835"/>
        <w:rPr>
          <w:rFonts w:ascii="Times New Roman" w:hAnsi="Times New Roman" w:cs="Times New Roman"/>
          <w:sz w:val="18"/>
          <w:szCs w:val="20"/>
          <w:shd w:fill="FBE4D5" w:val="clear"/>
        </w:rPr>
      </w:pPr>
      <w:r>
        <w:rPr>
          <w:rFonts w:cs="Times New Roman" w:ascii="Times New Roman" w:hAnsi="Times New Roman"/>
          <w:sz w:val="18"/>
          <w:szCs w:val="20"/>
        </w:rPr>
        <w:t xml:space="preserve">            </w:t>
      </w:r>
      <w:r>
        <w:rPr>
          <w:rFonts w:cs="Times New Roman" w:ascii="Times New Roman" w:hAnsi="Times New Roman"/>
          <w:sz w:val="18"/>
          <w:szCs w:val="20"/>
          <w:shd w:fill="FFF2CC" w:val="clear"/>
        </w:rPr>
        <w:t xml:space="preserve"> </w:t>
      </w:r>
      <w:r>
        <w:rPr>
          <w:rFonts w:cs="Times New Roman" w:ascii="Times New Roman" w:hAnsi="Times New Roman"/>
          <w:sz w:val="18"/>
          <w:szCs w:val="20"/>
          <w:shd w:fill="FFF2CC" w:val="clear"/>
        </w:rPr>
        <w:t xml:space="preserve">-   dotyczą wskaźników  - do rozpatrzenia na dalszym etapie prac – przy wypełnianiu tabeli atrybutów,           </w:t>
      </w:r>
    </w:p>
    <w:p>
      <w:pPr>
        <w:pStyle w:val="Normal"/>
        <w:shd w:val="clear" w:color="auto" w:fill="FBE4D5" w:themeFill="accent2" w:themeFillTint="33"/>
        <w:spacing w:lineRule="auto" w:line="360" w:before="0" w:after="0"/>
        <w:ind w:hanging="141" w:left="2835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  <w:t xml:space="preserve">-   nie odnoszą się do konkretnie wskazanych działek, dotyczą rejonu lub zagadnień nie objętych planem ogólnym,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18"/>
          <w:szCs w:val="20"/>
        </w:rPr>
      </w:pPr>
      <w:r>
        <w:rPr>
          <w:rFonts w:cs="Times New Roman" w:ascii="Times New Roman" w:hAnsi="Times New Roman"/>
          <w:b/>
          <w:sz w:val="18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18"/>
          <w:szCs w:val="20"/>
        </w:rPr>
      </w:pPr>
      <w:r>
        <w:rPr>
          <w:rFonts w:cs="Times New Roman" w:ascii="Times New Roman" w:hAnsi="Times New Roman"/>
          <w:b/>
          <w:sz w:val="18"/>
          <w:szCs w:val="20"/>
        </w:rPr>
        <w:t>WYKAZ WNIOSKÓW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18"/>
          <w:szCs w:val="20"/>
        </w:rPr>
      </w:pPr>
      <w:r>
        <w:rPr>
          <w:rFonts w:cs="Times New Roman" w:ascii="Times New Roman" w:hAnsi="Times New Roman"/>
          <w:b/>
          <w:sz w:val="18"/>
          <w:szCs w:val="20"/>
        </w:rPr>
        <w:t>złożonych do projektu planu ogólnego gminy Gorzkowice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  <w:t>Wykaz wniosków do projektu planu ogólnego gminy, o których mowa w art. 13i ust. 3 pkt 1 ustawy z dnia 27 marca 2003 r. o planowaniu i zagospodarowaniu przestrzennym (Dz. U. z 2024 r. poz. 1130 z późn. zm.)</w:t>
      </w:r>
      <w:r>
        <w:rPr>
          <w:rFonts w:cs="Times New Roman" w:ascii="Times New Roman" w:hAnsi="Times New Roman"/>
          <w:b/>
          <w:sz w:val="18"/>
          <w:szCs w:val="20"/>
        </w:rPr>
        <w:t xml:space="preserve">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</w:r>
    </w:p>
    <w:tbl>
      <w:tblPr>
        <w:tblStyle w:val="Tabela-Siatka"/>
        <w:tblW w:w="137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0"/>
        <w:gridCol w:w="1225"/>
        <w:gridCol w:w="1834"/>
        <w:gridCol w:w="3611"/>
        <w:gridCol w:w="1419"/>
        <w:gridCol w:w="1560"/>
        <w:gridCol w:w="3685"/>
      </w:tblGrid>
      <w:tr>
        <w:trPr>
          <w:trHeight w:val="70" w:hRule="atLeast"/>
        </w:trPr>
        <w:tc>
          <w:tcPr>
            <w:tcW w:w="410" w:type="dxa"/>
            <w:vMerge w:val="restart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Lp.</w:t>
            </w:r>
          </w:p>
        </w:tc>
        <w:tc>
          <w:tcPr>
            <w:tcW w:w="1225" w:type="dxa"/>
            <w:vMerge w:val="restart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Data wpływu wniosku</w:t>
            </w:r>
          </w:p>
        </w:tc>
        <w:tc>
          <w:tcPr>
            <w:tcW w:w="1834" w:type="dxa"/>
            <w:vMerge w:val="restart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Imię i nazwisko albo nazwa jednostki organizacyjnej</w:t>
            </w:r>
          </w:p>
        </w:tc>
        <w:tc>
          <w:tcPr>
            <w:tcW w:w="3611" w:type="dxa"/>
            <w:vMerge w:val="restart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Oznaczenie obszaru, którego dotyczy wniosek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Treść wniosku</w:t>
            </w:r>
          </w:p>
        </w:tc>
        <w:tc>
          <w:tcPr>
            <w:tcW w:w="2979" w:type="dxa"/>
            <w:gridSpan w:val="2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Sposób  rozpatrzenia wniosku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przez Wójta</w:t>
            </w:r>
          </w:p>
        </w:tc>
        <w:tc>
          <w:tcPr>
            <w:tcW w:w="3685" w:type="dxa"/>
            <w:vMerge w:val="restart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Uwagi</w:t>
            </w:r>
          </w:p>
        </w:tc>
      </w:tr>
      <w:tr>
        <w:trPr>
          <w:trHeight w:val="575" w:hRule="atLeast"/>
        </w:trPr>
        <w:tc>
          <w:tcPr>
            <w:tcW w:w="410" w:type="dxa"/>
            <w:vMerge w:val="continue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vMerge w:val="continue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Wniosek uwzględniony</w:t>
            </w:r>
          </w:p>
        </w:tc>
        <w:tc>
          <w:tcPr>
            <w:tcW w:w="1560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Wniosek nieuwzględniony</w:t>
            </w:r>
          </w:p>
        </w:tc>
        <w:tc>
          <w:tcPr>
            <w:tcW w:w="3685" w:type="dxa"/>
            <w:vMerge w:val="continue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70" w:hRule="atLeast"/>
        </w:trPr>
        <w:tc>
          <w:tcPr>
            <w:tcW w:w="410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1</w:t>
            </w:r>
          </w:p>
        </w:tc>
        <w:tc>
          <w:tcPr>
            <w:tcW w:w="1225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2</w:t>
            </w:r>
          </w:p>
        </w:tc>
        <w:tc>
          <w:tcPr>
            <w:tcW w:w="1834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3</w:t>
            </w:r>
          </w:p>
        </w:tc>
        <w:tc>
          <w:tcPr>
            <w:tcW w:w="3611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4</w:t>
            </w:r>
          </w:p>
        </w:tc>
        <w:tc>
          <w:tcPr>
            <w:tcW w:w="1419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5</w:t>
            </w:r>
          </w:p>
        </w:tc>
        <w:tc>
          <w:tcPr>
            <w:tcW w:w="1560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6</w:t>
            </w:r>
          </w:p>
        </w:tc>
        <w:tc>
          <w:tcPr>
            <w:tcW w:w="3685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78" w:left="-35" w:right="-392"/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1/6, 1/10,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138,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1/4,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Zwiększenie zasięgu terenu zabudowy jednorodzinnej.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Front działki znajduje się w strefie mieszkaniowej jednorodzinnej, w głębi strefa otwarta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686/2,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Zwiększenie zasięgu terenu zabudowy jednorodzinnej.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strefa zabudowy jednorodzinnej obejmuje tylko istniejące siedlisko, pozostała część działki jest gęsto zadrzewiona oraz znajduje się poza obszarem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93/2,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Zwiększenie zasięgu terenu zabudowy jednorodzinnej.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zasięgu obszaru uzupełnienia zabudowy (OUZ). Front działki znajduje się w strefie mieszkaniowej jednorodzinnej, w głębi strefa otwarta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166,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686/1,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zasięgu obszaru uzupełnienia zabudowy (OUZ). Front działki znajduje się w strefie mieszkaniowej jednorodzinnej, w głębi strefa otwarta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564,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1152/5,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before="0" w:after="16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południowa część działki przeznaczona na zabudowę mieszkaniową jednorodzinną oraz znajduje się w zasięgu obszaru uzupełnienia zabudowy (OUZ),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1/5, 1/9,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21, 22, 23,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działki znajdują się poza zasięgiem  obszaru uzupełnienia zabudowy OUZ, działki znajdują się na terenie złoża węgla brunatnego „Bełchatów- Pole Kamieńsk”, więc brak możliwości wyznaczanie terenu zabudowy jednorodzinnej.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22.05.2024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1530/1,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23.05.2024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380,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23.05.2024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64/6,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28.05.2024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136,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strefa SR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28.05.2024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 212, 213,  obręb Sobaków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otwartym, obok strefy górnictwa, poza terenami zurbanizowanymi i OUZ</w:t>
            </w:r>
          </w:p>
        </w:tc>
      </w:tr>
      <w:tr>
        <w:trPr>
          <w:trHeight w:val="31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 229/4, obręb Sobaków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28.05.2024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64/1, 64/2,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terenami zurbanizowanymi i 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28.05.2024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12, 13,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951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31.05.2024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43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działka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terenami zurbanizowanymi i OUZ</w:t>
            </w:r>
          </w:p>
        </w:tc>
      </w:tr>
      <w:tr>
        <w:trPr>
          <w:trHeight w:val="236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80,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działka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terenami zurbanizowanymi i OUZ</w:t>
            </w:r>
          </w:p>
        </w:tc>
      </w:tr>
      <w:tr>
        <w:trPr>
          <w:trHeight w:val="55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148,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działka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27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190/2,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działka,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27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19.5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221, 222,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31.05.2024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93/1, 93/2,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72/2,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Zwiększenie zasięgu terenu wydobycia kopalni piasku.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uwzględniono 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05.06.2024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 364,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działka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obszarem uzupełnienia zabudowy (OUZ)</w:t>
            </w:r>
          </w:p>
        </w:tc>
      </w:tr>
      <w:tr>
        <w:trPr>
          <w:trHeight w:val="26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 130,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działka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przeznaczona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05.06.2024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56,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przeznaczono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05.06.2024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275,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na terenie złoża węgla brunatnego „Bełchatów- Pole Kamieńsk”, więc brak możliwości wyznaczania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05.06.2024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63/3,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287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05.06.2024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1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886/13, 886/15,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uwzględniono </w:t>
            </w:r>
          </w:p>
        </w:tc>
      </w:tr>
      <w:tr>
        <w:trPr>
          <w:trHeight w:val="28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36/4,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w części znajduje się w obszarze uzupełnienia zabudowy (OUZ). W nawiązaniu do sąsiedztwa dla frontu działki ustalono strefę SZ, w głębi strefa SR </w:t>
            </w:r>
          </w:p>
        </w:tc>
      </w:tr>
      <w:tr>
        <w:trPr>
          <w:trHeight w:val="28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26.3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Działka nr ew. 148/2, obręb Szczukocice Wieś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99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06.06.2024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69/6,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obszarem uzupełnienia zabudowy (OUZ)</w:t>
            </w:r>
          </w:p>
        </w:tc>
      </w:tr>
      <w:tr>
        <w:trPr>
          <w:trHeight w:val="24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261/3, 261/4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otwartym, poza obszarem uzupełnienia zabudowy (OUZ)</w:t>
            </w:r>
          </w:p>
        </w:tc>
      </w:tr>
      <w:tr>
        <w:trPr>
          <w:trHeight w:val="18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27.3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17, obręb Kolonia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obszarem uzupełnienia zabudowy (OUZ)</w:t>
            </w:r>
          </w:p>
        </w:tc>
      </w:tr>
      <w:tr>
        <w:trPr>
          <w:trHeight w:val="34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27.4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1002/7,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usługowym, poza obszarem uzupełnienia zabudowy (OUZ)</w:t>
            </w:r>
          </w:p>
        </w:tc>
      </w:tr>
      <w:tr>
        <w:trPr>
          <w:trHeight w:val="34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27.5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1418,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07.06.2024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349/2,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usługowym, poza obszarem uzupełnienia zabudowy (OUZ)</w:t>
            </w:r>
          </w:p>
        </w:tc>
      </w:tr>
      <w:tr>
        <w:trPr>
          <w:trHeight w:val="20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11.06.2024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376,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budowę elektrowni fotowoltaicznej.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na gruntach zmeliorowanych więc brak możliwości wyznaczania terenu pod budowę elektrowni fotowoltaicznej</w:t>
            </w:r>
          </w:p>
        </w:tc>
      </w:tr>
      <w:tr>
        <w:trPr>
          <w:trHeight w:val="20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42/6,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budowę elektrowni fotowoltaicznej.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20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181, 182, 185,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budowę elektrowni fotowoltaicznej.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543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budowę elektrowni fotowoltaicznej.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104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29.5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87, 88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budowę elektrowni fotowoltaicznej.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obejmuje chronione grunty rolne III klasy bonitacyjnej, więc brak możliwości wyznaczania terenów pod budowę elektrowni fotowoltaicznej </w:t>
            </w:r>
          </w:p>
        </w:tc>
      </w:tr>
      <w:tr>
        <w:trPr>
          <w:trHeight w:val="27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29.6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80,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budowę elektrowni fotowoltaicznej.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uwzględniono </w:t>
            </w:r>
          </w:p>
        </w:tc>
      </w:tr>
      <w:tr>
        <w:trPr>
          <w:trHeight w:val="27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29.7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105,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budowę elektrowni fotowoltaicznej.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obejmuje chronione grunty rolne III klasy bonitacyjnej, więc brak możliwości wyznaczania terenów pod budowę elektrowni fotowoltaicznej</w:t>
            </w:r>
          </w:p>
        </w:tc>
      </w:tr>
      <w:tr>
        <w:trPr>
          <w:trHeight w:val="69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29.8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Ustalenie podstawowych wskaźników urbanistycznych dla terenu elektrowni słonecznej o następujących wartościach: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80%,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5 m,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10%.</w:t>
            </w:r>
          </w:p>
        </w:tc>
        <w:tc>
          <w:tcPr>
            <w:tcW w:w="1419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before="0" w:after="16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br/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wniosek uwzględniono dla działek, które zostały przeznaczone na budowę elektrowni fotowoltaicznej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11.06.2024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Miejscowości Gościnna, Sobakówek, Wilkoszewice, Bujnice, Szczepanowice, Cieszanowice, Daniszewice, Szczukocice Majątek, Szczukocice Wieś, Plucice, Krzemieniewice, Marianek, Krosno,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Uwzględnienie obszarów w strefach planistycznych dopuszczających budowę elektrowni wiatrowych</w:t>
            </w:r>
          </w:p>
        </w:tc>
        <w:tc>
          <w:tcPr>
            <w:tcW w:w="1419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PEW</w:t>
            </w:r>
          </w:p>
        </w:tc>
      </w:tr>
      <w:tr>
        <w:trPr>
          <w:trHeight w:val="24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375, 372/1, 374,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24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36, obręb Kol. Gorzędów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1151/5,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1397/2,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227/2, 226/2,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Od frontu strefa SZ w głębi strefa SR, SJ oraz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1397/1, 1398,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463/9,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44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95,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464/6, 463/25,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37.3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1403, 1404,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w części znajdują się w obszarze uzupełnienia zabudowy (OUZ). W nawiązaniu do sąsiedztwa i w sposób  jaki dopuszcza ustawowa zawartość planu ogólnego od frontu strefa SZ w głębi strefa SU i SO</w:t>
            </w:r>
          </w:p>
        </w:tc>
      </w:tr>
      <w:tr>
        <w:trPr>
          <w:trHeight w:val="43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37.4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102,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464/1, 463/18,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12.06.2024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964,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956,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463/4,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183/8,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1626, 1627,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285/1, 285/2,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38,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78,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8, 9, 10,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124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1351, 1352, obręb Gorzkowiczki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zabudowy przemysłowej, mieszkaniowej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są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oddalone od innych terenów o ustalonym analogicznym przeznaczeniu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utrzymano przeznaczenie wg studium uikzp </w:t>
            </w:r>
          </w:p>
        </w:tc>
      </w:tr>
      <w:tr>
        <w:trPr>
          <w:trHeight w:val="41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235/1, 236,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zabudowy jednorodzinnej.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364, 360,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82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1053/5,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teren zabudowy mieszkaniowej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przeznaczona na zabudowę mieszkaniową jednorodzinną, w której możliwe jest prowadzenie usług</w:t>
            </w:r>
          </w:p>
        </w:tc>
      </w:tr>
      <w:tr>
        <w:trPr>
          <w:trHeight w:val="130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1053/3, 1053/4, 1053/6, 1053/7,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Część działek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365,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przeznaczono na zabudowę mieszkaniową jednorodzinną.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222/1,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Zwiększenie zasięgu terenu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69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128,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209,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50.3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89/1, 90/3,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frontowej, znajdującej się przy ulicy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544/1, 546, 547, 1067,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759/2,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747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335/2, 333, 324, 323, 322, 230/1, 230/2, 232, 234, 235, 262, 263, 265, 266, 267, 274, 275, 276, 277, 278,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7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1658,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64/5,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przeznaczona na zabudowę zagrodową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224/1,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681,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322,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lub teren zabudowy rekreacyjnej.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leśnym,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13.06.2024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772, 281, 285,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304/1,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1304/4,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486, 487, 491/1, 491/2,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ew.338,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359,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 i usługi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 z</w:t>
            </w:r>
            <w:r>
              <w:rPr>
                <w:rFonts w:eastAsia="Liberation Sans" w:cs=""/>
                <w:kern w:val="0"/>
                <w:szCs w:val="22"/>
                <w:lang w:val="pl-PL" w:eastAsia="en-US" w:bidi="ar-SA"/>
              </w:rPr>
              <w:t>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możliwością usług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61.1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1650, 1651,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61.2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687/2,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1131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655, 658/3,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63.1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232,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zadrzewionym, poza terenami zurbanizowanymi i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63.2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229,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uwzględniono częściowo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Część frontu działki przeznaczono na zabudowę mieszkaniową jednorodzinną.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77/1, 77/3, 77/4,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479, 270, 269/2,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66.1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58, 57,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66.2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908, 906,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zadrzewionym,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904,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 i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550,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450,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230, 229,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118,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310/11, 310/12,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1156,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49,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przeznaczono na zabudowę mieszkaniową jednorodzinną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76.1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1019/2, 1019/3,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757/3, 758,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297, 303, 15,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26, 736,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125, 61,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123, 68, 69/3,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78.3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129,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15/1,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216, 456,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79.3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181/1,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istniejącego zagospodarowania działka przeznaczona na teren usług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506/1,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80.2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270, 271,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4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114/3, 114/4, 114/5,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4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38/4, 38/2, 373, 374/1, 374/2, 375,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157, 158, 155/2,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212,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958/3, 958/4, 959/3, 959/4, 959/5,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</w:t>
            </w:r>
          </w:p>
        </w:tc>
      </w:tr>
      <w:tr>
        <w:trPr>
          <w:trHeight w:val="31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809, 64,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1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656/3,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1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85.3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446,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północny front działki przeznaczony na zabudowę mieszkaniową jednorodzinną, południowy front przeznaczono na zabudowę zagrodową.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14.06.2024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348,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strefa SZ i strefa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466/1,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238/2,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SO.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159,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89.2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201, 160,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dla frontu działki ustalono strefę SZ, w głębi strefy SR i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124,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SO.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91.1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1594,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91.2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125,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SZ, w głębi strefy SR i SO.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92.1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1659, 1660,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92.2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298/2, 343/2, 343/1, 342,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432/2,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usługową.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przeznaczona na teren usług, w głębi strefa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228,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95.1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343/1, obręb Kolonia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95.2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382, 383,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71, 129,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97.1 Działki nr ew. 565/1, 142, 167,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97.2 Działki nr ew. 157, 117, 568, 139,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97.3 Działka nr ew. 420,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283/2, 283/3,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64/4,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Działki nr ew. 732, 721/1, obręb Plucice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152, 109/1,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274/1, 862,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850,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826,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7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105.1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449,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przeznaczono na zabudowę mieszkaniową jednorodzinną.</w:t>
            </w:r>
          </w:p>
        </w:tc>
      </w:tr>
      <w:tr>
        <w:trPr>
          <w:trHeight w:val="376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105.2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15,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poza zasięgiem  obszaru uzupełnienia zabudowy OUZ, działka znajduje się na terenie złoża węgla brunatnego „Bełchatów-Pole Kamieńsk”, więc brak możliwości wyznaczanie terenu zabudowy mieszkaniowej.</w:t>
            </w:r>
          </w:p>
        </w:tc>
      </w:tr>
      <w:tr>
        <w:trPr>
          <w:trHeight w:val="376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105.3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274/3,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106.1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46/1,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106.2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386, 389, 391/2,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106.3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391/2,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OUZ.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316, 315, 314,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w obszarze zabudowy tylko zgodnie ze stanem istniejącym, reszta działki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945/3,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945/1,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945/4,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945/2,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42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112.1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29,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2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112.2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179/4,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poza zasięgiem  obszaru uzupełnienia zabudowy OUZ</w:t>
            </w:r>
          </w:p>
        </w:tc>
      </w:tr>
      <w:tr>
        <w:trPr>
          <w:trHeight w:val="42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112.3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831/1, 831/2, 412, 823/1,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112.4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375, 518,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112.5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140,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83/1,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przeznaczono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49,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111/4, 912, 914,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504/1, 504/3,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902,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463/19, 464/2,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139/2,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 działka znajduje się poza zasięgiem  obszaru uzupełnienia zabudowy OUZ</w:t>
            </w:r>
          </w:p>
        </w:tc>
      </w:tr>
      <w:tr>
        <w:trPr>
          <w:trHeight w:val="37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221/3, 221/4,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76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108/4, 110/1, 110/2, 111,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poza zasięgiem  obszaru uzupełnienia zabudowy OUZ, część działek została przeznaczona na teren usług</w:t>
            </w:r>
          </w:p>
        </w:tc>
      </w:tr>
      <w:tr>
        <w:trPr>
          <w:trHeight w:val="376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120.3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100/1, 100/2, 102, 103,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poza zasięgiem  obszaru uzupełnienia zabudowy OUZ</w:t>
            </w:r>
          </w:p>
        </w:tc>
      </w:tr>
      <w:tr>
        <w:trPr>
          <w:trHeight w:val="124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1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187, 188,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Zmiana przeznaczenia działek  na zabudowę produkcyjną </w:t>
              <w:br/>
              <w:t>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X                   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 działki oddalone od innych terenów o ustalonym analogicznym przeznaczeniu</w:t>
            </w:r>
          </w:p>
        </w:tc>
      </w:tr>
      <w:tr>
        <w:trPr>
          <w:trHeight w:val="20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121.2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 nr ew. 69/5, obręb Cieszanowice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X 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345/2,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1304/12,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1020,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1045,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386/9,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9/7, 9/8,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poza zasięgiem  obszaru uzupełnienia zabudowy OUZ</w:t>
            </w:r>
          </w:p>
        </w:tc>
      </w:tr>
      <w:tr>
        <w:trPr>
          <w:trHeight w:val="83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250, 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SO.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128.2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251/1,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na terenie złoża węgla brunatnego „Bełchatów- Pole Kamieńsk”, więc brak możliwości wyznaczania obszaru uzupełnienia zabudowy</w:t>
            </w:r>
          </w:p>
        </w:tc>
      </w:tr>
      <w:tr>
        <w:trPr>
          <w:trHeight w:val="1121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313, 312, 314/1,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1154/3, 1154/4, 1154/5, 1154/6,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82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39, obręb Marianek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i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19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353, obręb Marianek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18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131.3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105,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647/3, 646/3,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132.2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448, 730,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192, 193,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znajduje się w terenie otwartym - rolnym, poza terenami zurbanizowanymi i OUZ, znajdują się również na terenie złoża węgla brunatnego „Bełchatów- Pole Kamieńsk”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192, 447, 488, 483/2, 483/1, 481,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522/6, 523,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działki znajdują się poza zasięgiem  obszaru uzupełnienia zabudowy OUZ</w:t>
            </w:r>
          </w:p>
        </w:tc>
      </w:tr>
      <w:tr>
        <w:trPr>
          <w:trHeight w:val="43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134.3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532,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3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134.4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29,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286, 296, 388, 433, 657, 662, 675, 728,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517/3,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50/2,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50/1,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280, 438,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zabudową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46,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245/2, 247/9,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1498,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143.1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452, 453,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143.2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23/1,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65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144.1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150, 154, 155, 178/1, 179/1,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65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144.2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357, 356, 359/2, 361,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Front działek przeznaczono na zabudowę mieszkaniową jednorodzinna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166/3, 165/1, 5/3,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146.1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1019/11,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146.2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1019/8,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1019/9,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części frontu strefa SZ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288, 289,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977/3,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zagrodową z profilem dodatkowym - usługi</w:t>
            </w:r>
          </w:p>
        </w:tc>
      </w:tr>
      <w:tr>
        <w:trPr>
          <w:trHeight w:val="44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48, 47/2, 49,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3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925/2,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43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150.3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40,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17.06.2024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757/4,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188/3,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OUZ, teren przeznaczony na usługi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34, 35,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działek przeznaczony na zabudowę mieszkaniową jednorodzinną, w głębi strefa otwarta.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471,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465, 466,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dla frontu działki ustalono strefę SZ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153, 154,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139,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748, 368, 369, 371, 372, 19, 20,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4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492/1, 522/1, 459,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3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509/1,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części frontu strefa SZ</w:t>
            </w:r>
          </w:p>
        </w:tc>
      </w:tr>
      <w:tr>
        <w:trPr>
          <w:trHeight w:val="43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157.3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208, 209, 176, 177,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3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157.4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58, 57,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działek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234,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działka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156, 43, 42, 106, 105, 104, 96, 95, 99,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102,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65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91, 92, 93, 94, 95/1, 95/2, 96, 97, 98/1, 98/2,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297, 298,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zagrodową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161.3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64, 63, 62,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148/7,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na wnioskowanej działce znajduje się park podworski, krajobrazowy zapisany w rejestrze zabytków nieruchomych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894, 893, 916, 915,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219/1, 220, obręb Borzęcin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384, 723,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144/4,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572,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części frontu strefa SZ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291,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zabudową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Działka nr ew. 935,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168.2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178/1, 178/2, 178/3, 178/4, 178/5, 1303/2,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części działek przeznaczony na zabudowę mieszkaniową jednorodzinną.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218,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841/1,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znajduje się w obszarze zabudowy tylko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39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115,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9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823,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322,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9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431, 428,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9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1021/1, , 253, 252,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198/1, 198/4,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wnioskowane działki znajdują się w obszarze zabudowy tylko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39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355,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9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41,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9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58,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9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295,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9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176.3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220/1,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9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176.4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185, 220/1,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846,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9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961/10,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9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178.2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930,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na terenie miejscowego planu zagospodarowania przestrzennego przyjętego uchwałą NR XXXV/252/2017 z dnia 28 grudnia 2017r.  wobec tego utrzymano przeznaczenie wg obowiązującego miejscowego planu oraz studium uikzp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144, 145,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9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292, 290/2,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9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364, 321/2,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961/6,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1502,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174/2,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7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224, 225, 420, 421, 827,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1315,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działek przeznaczony na zabudowę mieszkaniową jednorodzinną, w głębi strefa otwarta.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184.3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1333,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2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184.4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65, 68, 70,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1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184.5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73, 74,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7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184.6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79, 87, 118,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7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184.7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31,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7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830/3,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działka poza zasięgiem  obszaru uzupełnienia zabudowy OUZ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28, 72,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185.3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38,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185.4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126, 154, 166, 175, 317/1, 152, 317/2,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24, 231, 830/1, , 59/1, 230, 238/1,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264, 475, 696/2, 949, 222, , 305, 474, 597, 910,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516, 517, 518/1,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przeznaczone na zabudowę zagrodową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187.2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543,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224/2,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29/1, 57/1,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zabudowy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działki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72, 73,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 z dopuszczeniem fotowoltaiki.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W nawiązaniu do sąsiedztwa i w sposób  jaki dopuszcza ustawowa zawartość planu ogólnego od frontu strefa SZ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 profilem dodatkowym - usługi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349/1,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znajduje się w obszarze zabudowy tylko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21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264,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21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191.3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263,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25,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znajduje się w obszarze zabudowy tylko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81,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193.1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113,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216,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1662,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52/2, 53/1,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76,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59/4,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na części działki strefa SZ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463/8,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207,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7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123,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7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199.2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168,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478, 491/1, 491/2, 491/3,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167, 251,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200.3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168,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476, 477, 489, 490,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budowlaną.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325,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355/4,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202.3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529/13, 529/3, 529/5, 529/8, 529/10, 529/11, 529/12,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920, 921/1,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876/1, 877/3,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Fronty działek przeznaczone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1350/1,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876/3, 877/5,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82/1, 82/2,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1343,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207.2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852, 853, 838, 839,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1150/1, 1150/2, 1149, 1148,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Fronty działek przeznaczone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1150/4, 1150/5,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przemysłową i usługi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przeznaczone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na zabudowę mieszkaniową jednorodzinną z możliwością usług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282/1,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38/1,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145/6, 146,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110/1, 117/1,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202,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1407,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871, 872, 873,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312/3,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1607, 1661,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155/1,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219.1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54/3,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219.2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726, 725/1, 725/2, 724,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828,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221.1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109,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42/7, 42/8,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277,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221.2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42/8,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347/2,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223.1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20/1, 81, 469, 770, 771/1,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1318, 1338, 1340,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749,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223.2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1310, 1319,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223.3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392,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20/1, 469,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831,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864, 865,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527,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lub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112/1, 36, 35/1,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9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1312/2,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283, 287, 289, 292, 294, 297, 299, 424, 426, 648/1, 653, 656/1, 775,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58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działki nr ew. 54/2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28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228.2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działki nr ew. 31 na zabudowę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229.1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167, 150/3,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229.2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274, 705, 499, 962,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1387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230.1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31, 30, 29, 28, 27, 26,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Zwiększenie zasięgu terenu zabudowy zagrodowej.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poza zasięgiem  obszaru uzupełnienia zabudowy OUZ, działka znajduje się na terenie złoża węgla brunatnego „Bełchatów-Pole Kamieńsk”, więc brak możliwości wyznaczanie terenu zabudowy zagrodowej</w:t>
            </w:r>
          </w:p>
        </w:tc>
      </w:tr>
      <w:tr>
        <w:trPr>
          <w:trHeight w:val="8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230.2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Ustalenie podstawowych wskaźników urbanistycznych dla terenu zabudowy mieszkaniowej o następujących wartościach: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40%,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8 m,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brak</w:t>
            </w:r>
          </w:p>
        </w:tc>
        <w:tc>
          <w:tcPr>
            <w:tcW w:w="1419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before="0" w:after="16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wskaźniki odnoszą się do przeznaczenia, które nie zostało uwzględnione </w:t>
            </w:r>
          </w:p>
        </w:tc>
      </w:tr>
      <w:tr>
        <w:trPr>
          <w:trHeight w:val="102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231.1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199/1,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20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231.2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151,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1147, 1148, 91/2, 93/4, 879, 896, 895, 917,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233.1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319, 320,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366/1,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08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233.2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318, 319, 320,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234.1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26/1, 14,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899, 900, 1026, 779, 780,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234.2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98,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220/2, 220/1,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310,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145/8, 145/7,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571,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27,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1019/14,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378, 379,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352/2, 352/3,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działek przeznaczony na zabudowę mieszkaniową jednorodzinną, w głębi strefa otwarta.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243.1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148/6, obręb Kotków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nr ew. 148/6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 nawiązaniu do sąsiedztwa i w sposób  jaki dopuszcza ustawowa zawartość planu ogólnego na działce wyznaczono strefę SN</w:t>
            </w:r>
          </w:p>
        </w:tc>
      </w:tr>
      <w:tr>
        <w:trPr>
          <w:trHeight w:val="28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243.2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148/8, obręb Kotków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nr ew. 148/8 na zabudowę produkcyjną 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 nawiązaniu do sąsiedztwa i w sposób  jaki dopuszcza ustawowa zawartość planu ogólnego od frontu wyznaczono strefę SU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62/4, 58, 59, 60, 77, 98, 82, 62/2,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59, 130,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 lub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nr ew. 59 w części znajduje się w obszarze uzupełnienia zabudowy (OUZ) w nawiązaniu do sąsiedztwa i w sposób  jaki dopuszcza ustawowa zawartość planu ogólnego od frontu strefa SZ w głębi strefa SR i SO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nr ew. 130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142,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247.1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301, 325,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247.2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301, 325,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132/1,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 lub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znacznej części obejmuje chronione grunty rolne III klasy bonitacyjnej, więc brak możliwości wyznaczania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249.1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1312/1,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249.2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480, 707, 276, 32/1, 31  obręb Bujniczki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148/1,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249.3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31 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272, 108, 273, 113,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251.1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238/1, 276,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251.2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229/5,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252.1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187/2,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252.2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286,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3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253.1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działki nr ew. 68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21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253.2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działki nr ew. 590 na zabudowę mieszkaniową lub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386/10,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została przeznaczona na strefę mieszkaniową jednorodzinną</w:t>
            </w:r>
          </w:p>
        </w:tc>
      </w:tr>
      <w:tr>
        <w:trPr>
          <w:trHeight w:val="109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255.1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109,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13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255.2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131, 130,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204/3,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1304/6, 1304/8, 1304/9, 1304/10, 1304/11, 1304/14,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258.1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61, 125,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258.2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109, 111,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41, 11/1 obręb Kotków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145/2, 146, 147/1, 158, 153 obręb Borzęcin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 nr ew. 386/8, obręb Grabostów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została przeznaczona na strefę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18.06.2024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261.1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963/1,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261.2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909/1, 954/1, 385,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308,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77,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369,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152/1,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inny z rolnego.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Fragment działki przeznaczony na zabudowę mieszkaniową jednorodzinną, w głębi strefa otwarta.</w:t>
            </w:r>
          </w:p>
        </w:tc>
      </w:tr>
      <w:tr>
        <w:trPr>
          <w:trHeight w:val="34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265.1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413/8, 413/9, 413/6,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4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265.2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397, 411, 400, 402/1,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Fronty działek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327/1, 327/2,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nawiązaniu do sąsiedztwa i w sposób  jaki dopuszcza ustawowa zawartość planu ogólnego wprowadzono strefę SN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361/3,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1181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268.1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602, 373/1, 373/2, 373/3, 603, 65/2,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5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268.2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65/1,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usługową.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f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ront działki przeznaczono na zabudowę zagrodową z profilem dodatkowym - usługi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269.1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333/1,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269.2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332/2, 349,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275/1, 275/2,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755/9,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272.1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312/4,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272.2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167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259,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274.1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274.2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1563,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strefę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337, 339,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północnej strony strefa SJ, od południowej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990,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i rolniczą.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333/3,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72,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278.1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616, 617, 820, 821, 1157, 1158,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lub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15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278.2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333/2, 335/2,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SU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690, 1189,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280.1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151/1, 152, 404, 448, 368, 369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280.2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151/1, 152, 404, 448, 368, 369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241, 240, 237, 236, 596, 510, 1037, 1200,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372, 649/1, 528,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282.1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218,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282.2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220, 113,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836, 718,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284.1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76, 50/1,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284.2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66/1, 137, 138, 2, 1, obręb Kotków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330, 336, obręb Borzęcin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173,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209,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285.1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712, 59/2, 63/1, 114/4, 139, 140,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1317,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285.2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281, 470, 874, 876,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285.3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1320,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49/1,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286.2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287,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49/3,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302/1, 302/2, 304, 310/4, 310/6, 310/7, 310/10, 310/13,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289.1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1223/3,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strefę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289.2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1223/2,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379,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1027,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451, 566, 584, 658, 665,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723,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847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1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294.1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187/1,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Front działki przeznaczono na zabudowę zagrodową z profilem dodatkowym – usługi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 głębi strefa SR i SO</w:t>
            </w:r>
          </w:p>
        </w:tc>
      </w:tr>
      <w:tr>
        <w:trPr>
          <w:trHeight w:val="8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294.2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192/3,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1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294.3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480, 478, 477, 472, 497, 411,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dziełek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1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294.4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170, 169, 168,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dziełek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42/6,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540, 80, 53,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296.1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892,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296.2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60, 61,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387, 477,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331/1,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112,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377,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300.1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9/5,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300.2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78/2,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243, 317/2, 284,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243, 317/2, 284,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SJ,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552/5,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164/1, 164/2, 164/5, 165/1, 165/2, 165/5, 215, 701,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303.2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422, 427, 652,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95,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952/2,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402, 403, 404/1, 405, 17/1, 16/1,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532,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306.2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188, 17/1, 16/1,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26/1, 36/1, obręb Borzęcin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113, 80, 82, 466,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268,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308.1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376,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Ustalenie strefy planistycznej, która dopuszcza realizację inwestycji OZE (elektrownie słoneczne) oraz magazynów energii.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znajduje się na gruntach zmeliorowanych więc brak możliwości wyznaczania terenu pod budowę elektrowni fotowoltaicznej</w:t>
            </w:r>
          </w:p>
        </w:tc>
      </w:tr>
      <w:tr>
        <w:trPr>
          <w:trHeight w:val="1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308.2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Ustalenie podstawowych wskaźników urbanistycznych dla terenu elektrowni słonecznej o następujących wartościach: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80%,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5 m,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10%.</w:t>
            </w:r>
          </w:p>
        </w:tc>
        <w:tc>
          <w:tcPr>
            <w:tcW w:w="1419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before="0" w:after="16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wskaźniki odnoszą się do przeznaczenia, które nie zostało uwzględnione 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309.1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185,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Ustalenie strefy planistycznej, która dopuszcza realizację inwestycji OZE (elektrownie słoneczne) oraz magazynów energii.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</w:tc>
      </w:tr>
      <w:tr>
        <w:trPr>
          <w:trHeight w:val="1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309.2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Ustalenie podstawowych wskaźników urbanistycznych dla terenu elektrowni słonecznej o następujących wartościach: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80%,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5 m,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10%.</w:t>
            </w:r>
          </w:p>
        </w:tc>
        <w:tc>
          <w:tcPr>
            <w:tcW w:w="1419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przyjęto wskaźniki: 80%, 5m, 10%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326/2,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311.1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390, 399, 643/1,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311.2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747,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1304/13,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87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313.1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111,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15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313.2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84,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282/2,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64, 89,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190,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189,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1101,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fragment frontu strefa SZ w głębi strefa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194/1, 194/2,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537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320.1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319/3,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teren wielofunkcyjny z zabudową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</w:tc>
      </w:tr>
      <w:tr>
        <w:trPr>
          <w:trHeight w:val="2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320.2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Ustalenie podstawowych wskaźników urbanistycznych dla terenu wielofunkcyjnego z zabudową jednorodzinną o następujących wartościach: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70%,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10 m,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30%.</w:t>
            </w:r>
          </w:p>
        </w:tc>
        <w:tc>
          <w:tcPr>
            <w:tcW w:w="1419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wyznaczono wskaźniki: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40%,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10 m,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40%.</w:t>
            </w:r>
          </w:p>
        </w:tc>
      </w:tr>
      <w:tr>
        <w:trPr>
          <w:trHeight w:val="685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361/4,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39,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232/2, 233/2,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zagrodową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F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ront działki przeznaczono na zabudowę zagrodową z profilem dodatkowym – usługi,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 głębi strefa SR i SO</w:t>
            </w:r>
          </w:p>
        </w:tc>
      </w:tr>
      <w:tr>
        <w:trPr>
          <w:trHeight w:val="165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324.1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67/1, 67/2, 104/2, 107/1, 108/1, 108/2, 109/1, 110, 125, 126, 127/3, 128/2, 129, 130, 166, 167, 170/1, 170/2, 171, 173, 174, 175, 176, 177, 219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zabudowy produkcyjnej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 działki oddalone od innych terenów o ustalonym analogicznym przeznaczeniu</w:t>
            </w:r>
          </w:p>
        </w:tc>
      </w:tr>
      <w:tr>
        <w:trPr>
          <w:trHeight w:val="46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324.2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321, obręb Szczukocice Wieś,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57,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325.1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363,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126/1, 126/2,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325.2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363,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126/1, 126/2,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09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326.1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123,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pozostała część działek poza zasięgiem  obszaru uzupełnienia zabudowy OUZ</w:t>
            </w:r>
          </w:p>
        </w:tc>
      </w:tr>
      <w:tr>
        <w:trPr>
          <w:trHeight w:val="13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326.2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147,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327.1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14/1, 14/2, 14/3, 28/3, 29/1, 18, 19, 20, 21/1, 21/2, 22, 23/3, 32/1, 32/2,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72,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Ustalenie strefy planistycznej, która dopuszcza realizację elektrowni fotowoltaicznych.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Do działek uzyskano decyzje o warunkach zabudowy: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39/2024 z dnia 10.04.2024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45/2024 z dnia 17.04.2024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121/2023 z dnia 15.11.2023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38/2024 z dnia 10.04.2024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wnioskowane działki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 części obejmują chronione grunty rolne III klasy bonitacyjnej, elektrownię słoneczną wyznaczono na terenach nie obejmujących gleb chronionych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327.2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403, 404, 405, 365, 366,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Ustalenie strefy planistycznej, która dopuszcza realizację elektrowni fotowoltaicznych.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Do działek uzyskano decyzje o warunkach zabudowy: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39/2024 z dnia 10.04.2024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45/2024 z dnia 17.04.2024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121/2023 z dnia 15.11.2023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nr 38/2024 z dnia 10.04.2024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328.1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360,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328.2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90, 91, 92, 97/1,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299,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443,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330.1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256,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330.2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257, 269,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działki znajdują się na terenie złoża węgla brunatnego „Bełchatów- Pole Kamieńsk”, więc brak możliwości wyznaczania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741, 753/1, 753/2, 754,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741, 753/1, 753/2, 754,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25/8, 25/10, 25/9, 25/1,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306,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ze względu na prowadzoną działalność wprowadzono strefę usługową SU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333.2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307,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334.1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622, 740,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 lub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334.2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755,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 lub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pozostała część działki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335.1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281,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zagrodową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335.2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571,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335.3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1654, 1655,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32,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281/2, 283, 284,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264,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Fragment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302, 301/2,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wielofunkcyjny z zabudową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229/7,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teren wielofunkcyjny z zabudową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104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340.1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56/2,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teren wielofunkcyjny z zabudową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Cs w:val="22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8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340.2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Ustalenie podstawowych wskaźników urbanistycznych dla terenu wielofunkcyjnego z zabudową jednorodzinną o następujących wartościach: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70%,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10 m,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30%.</w:t>
            </w:r>
          </w:p>
        </w:tc>
        <w:tc>
          <w:tcPr>
            <w:tcW w:w="1419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wskaźniki odnoszą się do przeznaczenia, które nie zostało uwzględnione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341.1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868,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341.2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565/2,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193/12, 193/10, 193/6,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493,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344.1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Działki nr ew. 656/1, 667/1, 667/5, obręb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przeznaczone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344.2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Działki nr ew. 667/8, 667/2, 667/3, 667/6, 667/7, obręb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1666,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890,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44,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373,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356/2, 357, 362/1, 362/2, 362/3, 627, 629/1, 630, 693/1,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27/10,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1632,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98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415,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zagrodową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21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1030, 1031, 481/3, 481/2, 812, 813, 814, obręb Gorzkowiczki,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 241/1, obręb Plucice,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259, obręb Wola Kotkowska,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działek nr ew. 803, 125, obręb Krosno,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działek nr ew. 248/1, 257/1,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20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350.3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962/2,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W nawiązaniu do sąsiedztwa i w sposób  jaki dopuszcza ustawowa zawartość planu ogólnego </w:t>
            </w: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f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ront działki przeznaczono na zabudowę zagrodową z profilem dodatkowym – usługi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 głębi strefa SR</w:t>
            </w:r>
          </w:p>
        </w:tc>
      </w:tr>
      <w:tr>
        <w:trPr>
          <w:trHeight w:val="20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350.4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147/4, 147/5,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Zmiana przeznaczenia działek na teren zabudowy mieszkaniowej, produkcyjnej </w:t>
              <w:br/>
              <w:t>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20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350.5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962, 961/2, 959, obręb Gorzkowice,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 225, 224/1, 223/1, 223/2, obręb Plucice,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w części znajdują się w obszarze uzupełnienia zabudowy (OUZ). W nawiązaniu do sąsiedztwa i w sposób  jaki dopuszcza ustawowa zawartość planu ogólnego </w:t>
            </w: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f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ront działki przeznaczono na zabudowę zagrodową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 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351.1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335,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W nawiązaniu do sąsiedztwa i w sposób  jaki dopuszcza ustawowa zawartość planu ogólnego </w:t>
            </w: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f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ront działki przeznaczono na zabudowę zagrodową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 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351.2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 nr ew. 283/6, 283/5, 283/4, 283/1, 283/2, 283/3,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300/2, 302/2, 303/2, 301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283/3, 283/2,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150, 177/2,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Miejscowość Sobaków, Sobakówek, Gościnna, Wilkoszyce, Żuchowice, Gorzkowiczki, Kolonia Żuchowice, Gorzkowice, Bujnice PGR, Szczukocice Wieś, Szczukocice Majątek,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Ustalenie strefy planistycznej, która dopuszcza realizację elektrowni fotowoltaicznych i magazynów energii.</w:t>
            </w:r>
          </w:p>
        </w:tc>
        <w:tc>
          <w:tcPr>
            <w:tcW w:w="1419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PEF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nr ew. 5/5,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znajduje się w obszarze zabudowy tylko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 większego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 działki nr ew. 97/1,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8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356.3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 działki nr ew. 383, 386,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92/1,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9/6,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886/9, 886/10,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358,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 z możliwością usług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49, 33,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61,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363.1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282,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363.2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713,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364.1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47, 42,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364.2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46, 40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147,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145, 146,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48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367.1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160, 169, 170,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48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367.2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146/4, 146/7, 146/2,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127/1, 127/4, 128/2,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3/2,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461/26, 462/2, 462/3, 461/22,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693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531,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214/1, 213, 868, 866, 520/1, 522/4, 522/3,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195, 505, 501, 500,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375.1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170,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375.2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322,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376.1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125,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106, 878, 879, 880, 881, 922, 923,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376.2 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145, 146,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107,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201/3,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81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379.1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Cs w:val="22"/>
                <w:lang w:val="pl-PL" w:eastAsia="en-US" w:bidi="ar-SA"/>
              </w:rPr>
              <w:t>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ew. 1052,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81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379.2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Cs w:val="22"/>
                <w:lang w:val="pl-PL" w:eastAsia="en-US" w:bidi="ar-SA"/>
              </w:rPr>
              <w:t>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ew. 654, 394,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208, 209,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381.1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416/8, 416/9, 1176,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381.2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nr ew. 189/5,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08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382.1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 832/3,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5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382.2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220, 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północy zabudowa mieszkaniowa jednorodzinna natomiast od południa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354, 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 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296, 295,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199/5, 199/3, 199/1,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385.1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949,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612/2, 613/6, 73,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385.2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947, 50, 909, 65/1, 66/1, 67/1,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 308/4, 579/1, 579/3,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386.1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148/2,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znajduje się w obszarze zabudowy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 większego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386.2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198/5,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 całości obejmuje chronione grunty rolne III klasy bonitacyjnej, więc brak możliwości wyznaczania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807,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zadrzewionym,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65,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znajduje się w obszarze zabudowy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 większego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345/4,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219,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497, 495, 493,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25/1, 26/3, 26/4,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terenami zurbanizowanymi i OUZ</w:t>
            </w:r>
          </w:p>
        </w:tc>
      </w:tr>
      <w:tr>
        <w:trPr>
          <w:trHeight w:val="48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393.1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1657, 1669, 1668, 1679, 1507, 1508, 1509, 1510, 1511, 1512, oraz część działek 1675, 1674, 1673,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znacznej części znajdują się w obszarze uzupełnienia zabudowy (OUZ).</w:t>
            </w: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Wniosek uwzględniono w zakresie działek znajdujących się w odpowiedniej odległości od kolei</w:t>
            </w:r>
          </w:p>
        </w:tc>
      </w:tr>
      <w:tr>
        <w:trPr>
          <w:trHeight w:val="48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393.2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 1679, oraz część działek 1675, 1674, 1673,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sąsiedztwie kolei więc brak możliwości wyznaczenia zabudowy mieszkaniowej jednorodzinnej, wyznaczono teren usług</w:t>
            </w:r>
          </w:p>
        </w:tc>
      </w:tr>
      <w:tr>
        <w:trPr>
          <w:trHeight w:val="108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393.3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1157,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uwzględniono </w:t>
            </w:r>
          </w:p>
        </w:tc>
      </w:tr>
      <w:tr>
        <w:trPr>
          <w:trHeight w:val="15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393.1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 1677,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wnioskowane działki znajdują się w sąsiedztwie kolei więc brak możliwości wyznaczania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50/1,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395.1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262,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395.2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874,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277,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92, 93, 94,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147,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146,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1107, 1108,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3/1,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436, 437, 443,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309, 308, 314/2, 315/2,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120,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175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30,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1449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20/1, 19/3, 43, 47, obręb Kotków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206,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406.1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224, 225, 226, 300, 302, 305, 306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135,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406.2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 62,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82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 1061,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Zmiana przeznaczenia działki na zabudowę mieszkaniową. 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2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 111, obręb Gorzkowice,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105, 106,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produkcyjną z profilem dodatkowym - usługi</w:t>
            </w:r>
          </w:p>
        </w:tc>
      </w:tr>
      <w:tr>
        <w:trPr>
          <w:trHeight w:val="12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407.3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 109/2,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 działka oddalona od innych terenów o ustalonym analogicznym przeznaczeniu</w:t>
            </w:r>
          </w:p>
        </w:tc>
      </w:tr>
      <w:tr>
        <w:trPr>
          <w:trHeight w:val="16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 45/4, 376,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16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 284,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z profilem dodatkowym – usługi, w głębi strefa SR i SO</w:t>
            </w:r>
          </w:p>
        </w:tc>
      </w:tr>
      <w:tr>
        <w:trPr>
          <w:trHeight w:val="165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19.06.2024 r. 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123/1, obręb Plucice,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 45/3, 208, 375, 114, 94, obręb Szczukocice Wieś,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Działki nr ew. 212,  77/4, 77/5,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21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 1044, 1046, 1047,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Zmiana przeznaczenia działek na teren zabudowy mieszkaniowej i usługowej 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znajduje się w terenie otwartym – zadrzewionym, poza terenami zurbanizowanymi i OUZ</w:t>
            </w:r>
          </w:p>
        </w:tc>
      </w:tr>
      <w:tr>
        <w:trPr>
          <w:trHeight w:val="18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409.3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282/2,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obręb Grabostów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z profilem dodatkowym – usługi</w:t>
            </w:r>
          </w:p>
        </w:tc>
      </w:tr>
      <w:tr>
        <w:trPr>
          <w:trHeight w:val="18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409.4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 nr ew. 149, 148, 147, 146, 145, 144,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produkcyjną, przetwórstwo rolne i usługi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271, 272/1,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strefa SZ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237, 235/2,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zadrzewionym,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412.1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1158/2,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412.2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 1119/5, 1158/1,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do istniejącego zagospodarowania wprowadzono strefę SU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412.3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1146, 1142, 1342,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501, 505, 506,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268/1,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25, 40,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609, 627, 649, 654,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zadrzewionym,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412.4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1137, 1121/2,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143,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1311,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10, 11,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50, 102, 103, 150, 200/2, 211,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416.1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1564,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416.2 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370, 339,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36, 41, 51, 141,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416.3 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243/2, 243/1, 242/3, 242/2,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603/1,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417.1 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253,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794/1, 794/2,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417.2 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252,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SZ,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418.1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142/1,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418.2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184,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SZ,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386/2, 386/4,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16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1194, 1195,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16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1193/12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teren zalesiony.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662/1, 698,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422.1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550, 523, 167, 168, 534, obręb Krosno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1041,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422.2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114, 683, 630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157, 158/1, 158/2, 159, 160, obręb Szczukocice Wieś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424.1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125/4, 125/3, 125/2,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424.2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107/1, 108,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735, 736,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Liberation Sans" w:cs=""/>
                <w:kern w:val="0"/>
                <w:szCs w:val="22"/>
                <w:lang w:val="pl-PL" w:eastAsia="en-US" w:bidi="ar-SA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98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426.1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172, 173, 174, 204/1, 205, 206,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426.2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193/1,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zadrzewionym,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688/2, 686/3, 687, 463, 17, 686/1, 464/7, 463/26, 463/13, 463/10, 463/23,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przeznaczono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19.06.2024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428.1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531, 532, 533, 534/1, 706, 707,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428.2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531, 532, 533, 534/1, 706, 707,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113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963/2,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SZ, w głębi strefa SR i SO</w:t>
            </w:r>
          </w:p>
        </w:tc>
      </w:tr>
      <w:tr>
        <w:trPr>
          <w:trHeight w:val="1136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954/2,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24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429.3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1308/2,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24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429.4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909/2,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i produkcyjną z wykorzystaniem OZE oraz magazynów energii.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 na gruntach chronionych klasy III, poza terenami zurbanizowanymi i OUZ</w:t>
            </w:r>
          </w:p>
        </w:tc>
      </w:tr>
      <w:tr>
        <w:trPr>
          <w:trHeight w:val="24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429.5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796, 797, 798, 799, 800, obręb Plucice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356,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częściowo na gruntach chronionych klasy III, poza terenami zurbanizowanymi i 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1020/1,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a</w:t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1020/2,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376, 377,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353,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410/1, 410/2,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37/1, 37/2, obręb Kol.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227, 412,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71/3,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 obszarze uzupełnienia zabudowy (OUZ). W nawiązaniu do sąsiedztwa i w sposób  jaki dopuszcza ustawowa zawartość planu ogólnego wprowadzono strefę SZ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734/7,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734/5,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734/4,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734/6,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983,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461/14,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22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445.1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187/36,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wprowadzono strefę SW</w:t>
            </w:r>
          </w:p>
        </w:tc>
      </w:tr>
      <w:tr>
        <w:trPr>
          <w:trHeight w:val="107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445.2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 949/13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18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445.3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949/8, 949/11,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wprowadzono strefę SZ</w:t>
            </w:r>
          </w:p>
        </w:tc>
      </w:tr>
      <w:tr>
        <w:trPr>
          <w:trHeight w:val="27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446.1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62, 629, 630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112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446.2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 nr ew. 686, 687, obręb Wilkoszewice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115,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46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448.1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90,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wnioskowana działka znajduje się w obszarze zabudowy zgodnie ze stanem istniejącym, 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działka w całości obejmuje chronione grunty rolne III klasy bonitacyjnej, więc brak możliwości wyznaczania większego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obszaru uzupełnienia zabudowy OUZ</w:t>
            </w:r>
          </w:p>
        </w:tc>
      </w:tr>
      <w:tr>
        <w:trPr>
          <w:trHeight w:val="46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448.2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14, 26, 40, 120, 121, 150, obręb Szczukocice Majątek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54,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-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213,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59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 78, 79, 83, 693/3, 694, 991, 826, 824/1, 825, 352/5, 342, 343, 344, 346, 349, 350, 353, 354, 355/1, 355/2, 356/3,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65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74, 75, 352/2,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 nawiązaniu do sąsiedztwa i w sposób  jaki dopuszcza ustawowa zawartość planu ogólnego od frontu strefa SZ w głębi strefa SR i SO</w:t>
            </w:r>
          </w:p>
        </w:tc>
      </w:tr>
      <w:tr>
        <w:trPr>
          <w:trHeight w:val="74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451.3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47,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141, 63/4,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710,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64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311/2, 311/4,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365, 138/4,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62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157, 158, 163, 164, 323,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terenami zurbanizowanymi i OUZ</w:t>
            </w:r>
          </w:p>
        </w:tc>
      </w:tr>
      <w:tr>
        <w:trPr>
          <w:trHeight w:val="411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160, 161, obręb Marianek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działki znajdują się w obszarze zabudowy tylko zgodnie ze stanem istniejącym, pozostała część działek poza zasięgiem  obszaru uzupełnienia zabudowy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101,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802, 800, 99, 1006,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- rolnym, poza terenem obszaru uzupełnienia zabudowy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1401,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2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457.3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845,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542,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912,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460.1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480,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460.2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344/1,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fragment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367/2,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127, 119/4,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mocno zadrzewionym, poza terenem obszaru uzupełnienia zabudowy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452.2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63,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fragment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40/2, 65,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90,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terenem obszaru uzupełnienia zabudowy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465.1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1018/3,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465.2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368, 370/1, obręb Grabostów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2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127/3, 128/1, 91, obręb Sobaków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mocno zadrzewionym, poza terenem obszaru uzupełnienia zabudowy</w:t>
            </w:r>
          </w:p>
        </w:tc>
      </w:tr>
      <w:tr>
        <w:trPr>
          <w:trHeight w:val="62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1109,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596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467.1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568,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467.2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22,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1035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556, 47, 48, obręb Cieszanowice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 i rekreacyjną.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otwartym, poza terenem obszaru uzupełnienia zabudowy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221/2, 221/3, 294, obręb Daniszewice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468.3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221/2, 221/3, 294, obręb Daniszewice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114,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515/2,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670/2,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780/2,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terenem obszaru uzupełnienia zabudowy</w:t>
            </w:r>
          </w:p>
        </w:tc>
      </w:tr>
      <w:tr>
        <w:trPr>
          <w:trHeight w:val="959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612/1, obręb Bujniczki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1727,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i możliwość wybudowania budynków gospodarczych.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59, obręb Kol. Gorzędów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60, obręb Kol. Gorzędów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464, obręb Plucice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465,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781,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325,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Północna część działki przeznaczona na zabudowę mieszkaniową jednorodzinną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370/2, 371/2, obręb Grabostów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146, 169, 127,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mocno zadrzewionym, poza terenem obszaru uzupełnienia zabudowy</w:t>
            </w:r>
          </w:p>
        </w:tc>
      </w:tr>
      <w:tr>
        <w:trPr>
          <w:trHeight w:val="62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155, 156, 157, 158, 160/1, 161,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2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746,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949/7, obręb Gorzkowiczki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949/12, 949/10,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558, obręb Cieszanowice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znajduje się w obszarze zabudowy tylko zgodnie ze stanem istniejącym, pozostała część działek poza zasięgiem  obszaru uzupełnienia zabudowy OUZ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486.1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326,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18, obręb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1327,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 działki przeznaczony na zabudowę mieszkaniową jednorodzinną, w głębi strefa otwarta.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147, 148/4, 148/5, 149, 146, obręb Sobakówek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 i produkcję rolniczą.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2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213, 214,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2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489.2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1034, 1039, 1033, 1192, 1193/1, 1194, obręb 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25/7,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491.1 Działka nr ew.  130/1,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491.2 Działka nr ew.  313/1, obręb Daniszewice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terenami zurbanizowanymi i OUZ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287/2, 287/1, 286/2, 286/1, 273, 272,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493.1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22, 245, 401/1, obręb Krzemieniewice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493.2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22, 245, 401/1, obręb Krzemieniewice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494.1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100, 99,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494.2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2/2, obręb Kol. Gorzędów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2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494.3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843, 787,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1154/2,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235,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378, 52,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16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10275" w:type="dxa"/>
            <w:gridSpan w:val="4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172, 177/3, 192/1, 192/2, 192/3, 192/4, 363,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</w:tc>
      </w:tr>
      <w:tr>
        <w:trPr>
          <w:trHeight w:val="21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działek nr ew. 177/3,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21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działek nr ew. 172,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Segoe UI Symbol" w:hAnsi="Segoe UI Symbol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zagrodową</w:t>
            </w:r>
          </w:p>
        </w:tc>
      </w:tr>
      <w:tr>
        <w:trPr>
          <w:trHeight w:val="30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498.3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działek nr ew. 192/1, 192/2, 192/3, 192/4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Od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frontu przeznaczono na zabudowę mieszkaniową jednorodzinną, w głębi strefa otwarta.</w:t>
            </w:r>
          </w:p>
        </w:tc>
      </w:tr>
      <w:tr>
        <w:trPr>
          <w:trHeight w:val="16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498.4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działki nr ew. 363 na teren zabudowy mieszkaniowej </w:t>
              <w:br/>
              <w:t>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 z możliwością usług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499.1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192/4, 620,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teren zabudowy jednorodzinnej.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499.2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358, 359, 360, 361, 613/2, 613/4, 619, 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teren zabudowy jednorodzinnej.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1434/1,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263, obręb Bujniczki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działki na teren zabudowy jednorodzinnej.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terenem obszaru uzupełnienia zabudowy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502.1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71, 72, 73, 4,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przeznaczono na usługi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502.2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40, 41/1, 41/2, 51, 58, 195, obręb Krosno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25/4, 25/12,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uwzględniono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222/2, 153/3, 153/2, obręb Szczepanowice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37, obręb Gościnna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 działka oddalona od innych terenów o ustalonym analogicznym przeznaczeniu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191/1, obręb Marianek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978/2,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mieszkaniową, produkcyjną i handlu wielkopowierzchniowego.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716/2, 716/3, obręb Plucice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teren pod zabudowę letniskową.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62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509.1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578, 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działek na teren pozwalający na elektrownię fotowoltaiczną, magazyny energii oraz wytwarzanie zielonego wodoru.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62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509.2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607,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działek na teren pozwalający na elektrownię fotowoltaiczną, magazyny energii oraz wytwarzanie zielonego wodoru.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na terenie zmeliorowanym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608,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działki na teren pozwalający na elektrownię fotowoltaiczną, magazyny energii oraz wytwarzanie zielonego wodoru.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na terenie zmeliorowanym</w:t>
            </w:r>
          </w:p>
        </w:tc>
      </w:tr>
      <w:tr>
        <w:trPr>
          <w:trHeight w:val="623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511.1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590, obręb Bujnice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działek na teren pozwalający na elektrownię fotowoltaiczną, magazyny energii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znajduje się w sąsiedztwie parku objętego ochroną konserwatorską poprzez wpis do rejestru zabytków co uniemożliwia powstawanie elektrowni słonecznej</w:t>
            </w:r>
          </w:p>
        </w:tc>
      </w:tr>
      <w:tr>
        <w:trPr>
          <w:trHeight w:val="51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511.2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1735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działek na teren pozwalający na elektrownię fotowoltaiczną, magazyny energii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</w:tc>
      </w:tr>
      <w:tr>
        <w:trPr>
          <w:trHeight w:val="51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511.3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1734,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wskazanej części działek na teren pozwalający na elektrownię fotowoltaiczną, magazyny energii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znajduje się na terenie lasu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co uniemożliwia powstawanie elektrowni słonecznej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524/4, obręb Gościnna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104, obręb Gorzkowice (działka podzielona)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432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514.1 Działka nr ew.  120, 121, 122,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43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514.2 Działka nr ew. 63, obręb Sobaków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255/5,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25/11,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202, obręb Szczukocice Wieś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rolnym, poza terenem obszaru uzupełnienia zabudowy</w:t>
            </w:r>
          </w:p>
        </w:tc>
      </w:tr>
      <w:tr>
        <w:trPr>
          <w:trHeight w:val="20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10275" w:type="dxa"/>
            <w:gridSpan w:val="4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258, 806, 808, 814, 931, 901,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</w:tc>
      </w:tr>
      <w:tr>
        <w:trPr>
          <w:trHeight w:val="25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518.1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działek nr ew. 258,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256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518.2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działek nr ew. 806, 808, 814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20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518.3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Zmiana przeznaczenia działek nr ew. 931, 901 na teren hodowlany.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oddalone od innych terenów o ustalonym analogicznym przeznaczeniu trzymano przeznaczenie wg studium uikzp</w:t>
            </w:r>
          </w:p>
        </w:tc>
      </w:tr>
      <w:tr>
        <w:trPr>
          <w:trHeight w:val="1246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149/4, 150, 167/1, 168/1, obręb Kotków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zagrodową.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nie uwzględniono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działki w obszarze zabudowy zagrodowej i produkcji rolnej tylko zgodnie ze stanem istniejącym, reszta działki poza zasięgiem  obszaru uzupełnienia zabudowy OUZ</w:t>
            </w:r>
          </w:p>
        </w:tc>
      </w:tr>
      <w:tr>
        <w:trPr>
          <w:trHeight w:val="568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25/11,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wnioskowana działka przeznaczona na zabudowę mieszkaniową jednorodzinną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Miejscowość Gorzkowice, Plucice, Gorzkowiczki, Bujnice PGR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Zmiana przeznaczenia działek na teren umożliwiający lokalizacje elektrowni fotowoltaicznych o mocy przekraczającej 500 kW oraz magazyny energii.</w:t>
            </w:r>
          </w:p>
        </w:tc>
        <w:tc>
          <w:tcPr>
            <w:tcW w:w="1419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PEF</w:t>
            </w:r>
          </w:p>
        </w:tc>
      </w:tr>
      <w:tr>
        <w:trPr>
          <w:trHeight w:val="115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 Działka nr ew. 36, 69, 205, 206, 207, obręb Gorzkowiczki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na teren zabudowy mieszkaniowej.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  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527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Ustalenie podstawowych wskaźników urbanistycznych dla terenu zabudowy mieszkaniowej o następujących wartościach: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maksymalny udział powierzchni zabudowy – 40%,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- maksymalna wysokość zabudowy – 10 m,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- minimalny udział powierzchni biologicznie czynnej – 40%.</w:t>
            </w:r>
          </w:p>
        </w:tc>
        <w:tc>
          <w:tcPr>
            <w:tcW w:w="1419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wnioskowane wskaźniki odnoszą się do przeznaczenia, które nie zostało uwzględnione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128, obręb Bujnice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 – mocno zadrzewionym,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307,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5/6, obręb Szczepanowice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38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1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369, 371/1,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1252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526.2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44, 184, 205,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otwarty, poza terenem obszaru uzupełnienia zabudowy</w:t>
            </w:r>
          </w:p>
        </w:tc>
      </w:tr>
      <w:tr>
        <w:trPr>
          <w:trHeight w:val="64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526.3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 85, obręb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w części znajduje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648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526.4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 211/1, 212/1, 213/3, 214/1, 215/3, obręb Wola Kotkowska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mocno zadrzewionym, poza terenem obszaru uzupełnienia zabudowy</w:t>
            </w:r>
          </w:p>
        </w:tc>
      </w:tr>
      <w:tr>
        <w:trPr>
          <w:trHeight w:val="520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526.5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Działka nr ew. 129/75,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 xml:space="preserve">wnioskowana działka w części znajduje się w obszarze uzupełnienia zabudowy (OUZ).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 częściowo przeznaczona na teren usług</w:t>
            </w:r>
          </w:p>
        </w:tc>
      </w:tr>
      <w:tr>
        <w:trPr>
          <w:trHeight w:val="519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 xml:space="preserve">526.6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 129/70, 129/65, 129/81, 128, obręb Gorzkowice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zabudowę mieszkaniową, produkcyjną i usługi.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przeznaczono na teren produkcji z profilem dodatkowym usług</w:t>
            </w:r>
          </w:p>
        </w:tc>
      </w:tr>
      <w:tr>
        <w:trPr>
          <w:trHeight w:val="335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526.7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  Zmiana przeznaczenia działek nr ew. 546/1, 545/1, 544/1, 543/1, 542/1, 541/1, 540/1, obręb Kotków, na zabudowę produkcyjną i usługową z możliwością inwestycji OZE.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oddalone od innych terenów o ustalonym analogicznym przeznaczeniu trzymano przeznaczenie wg studium uikzp</w:t>
            </w:r>
          </w:p>
        </w:tc>
      </w:tr>
      <w:tr>
        <w:trPr>
          <w:trHeight w:val="1242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173/1, 173/3, obręb Gorzkowice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369, obręb Bujniczki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bookmarkStart w:id="0" w:name="__DdeLink__15677_3399292719"/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jednorodzinną.</w:t>
            </w:r>
            <w:bookmarkEnd w:id="0"/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terenem obszaru uzupełnienia zabudowy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Działka nr ew. 47/1, 46/2, obręb Kol. Gorzędów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 xml:space="preserve">Zmiana przeznaczenia działek na zabudowę mieszkaniową. 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300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Miejscowości Sobaków, Sobakówek, Gorzkowiczki, Gorzkowice, Żuchowice, Szczukocice Majątek, Szczukocice Wieś, Krzemieniewice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działek na teren umożliwiający lokalizacje elektrowni fotowoltaicznych o mocy przekraczającej 500 kW oraz magazyny energii.</w:t>
            </w:r>
          </w:p>
        </w:tc>
        <w:tc>
          <w:tcPr>
            <w:tcW w:w="1419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685" w:type="dxa"/>
            <w:tcBorders/>
            <w:shd w:color="auto" w:fill="FBE4D5" w:themeFill="accent2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PEF</w:t>
            </w:r>
          </w:p>
        </w:tc>
      </w:tr>
      <w:tr>
        <w:trPr>
          <w:trHeight w:val="828" w:hRule="atLeast"/>
        </w:trPr>
        <w:tc>
          <w:tcPr>
            <w:tcW w:w="41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Działka nr ew. 386/1, 386/3, obręb Grabostów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Zmiana przeznaczenia działki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znajdują się w terenie otwartym – rolnym, poza terenem obszaru uzupełnienia zabudowy</w:t>
            </w:r>
          </w:p>
        </w:tc>
      </w:tr>
      <w:tr>
        <w:trPr>
          <w:trHeight w:val="204" w:hRule="atLeast"/>
        </w:trPr>
        <w:tc>
          <w:tcPr>
            <w:tcW w:w="410" w:type="dxa"/>
            <w:vMerge w:val="restart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ind w:hanging="113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20.06.2024 r.</w:t>
            </w:r>
          </w:p>
        </w:tc>
        <w:tc>
          <w:tcPr>
            <w:tcW w:w="183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[…]</w:t>
            </w:r>
          </w:p>
        </w:tc>
        <w:tc>
          <w:tcPr>
            <w:tcW w:w="10275" w:type="dxa"/>
            <w:gridSpan w:val="4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Działka nr ew. 275/5, 275/6, 275/7, obręb Kol. Żuchowice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 xml:space="preserve">                                   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/</w:t>
            </w:r>
          </w:p>
        </w:tc>
      </w:tr>
      <w:tr>
        <w:trPr>
          <w:trHeight w:val="20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en-US" w:bidi="ar-SA"/>
              </w:rPr>
              <w:t>532.1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 xml:space="preserve"> Zmiana przeznaczenia działek nr ew. 275/6, 275/7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>X</w:t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20"/>
                <w:lang w:val="pl-PL" w:eastAsia="en-US" w:bidi="ar-SA"/>
              </w:rPr>
              <w:t>uwzględniono częściowo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wnioskowane działki w części znajdują się w obszarze uzupełnienia zabudowy (OUZ). W nawiązaniu do sąsiedztwa i w sposób  jaki dopuszcza ustawowa zawartość planu ogólnego od frontu strefa SZ w głębi strefa SR i SO</w:t>
            </w:r>
          </w:p>
        </w:tc>
      </w:tr>
      <w:tr>
        <w:trPr>
          <w:trHeight w:val="203" w:hRule="atLeast"/>
        </w:trPr>
        <w:tc>
          <w:tcPr>
            <w:tcW w:w="410" w:type="dxa"/>
            <w:vMerge w:val="continue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 w:right="-392"/>
              <w:contextualSpacing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225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834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3611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en-US" w:bidi="ar-SA"/>
              </w:rPr>
              <w:t>532.2</w:t>
            </w: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  <w:t xml:space="preserve"> Zmiana przeznaczenia działki nr ew. 275/5 na zabudowę mieszkaniową.</w:t>
            </w:r>
          </w:p>
        </w:tc>
        <w:tc>
          <w:tcPr>
            <w:tcW w:w="141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560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bCs/>
                <w:kern w:val="0"/>
                <w:sz w:val="18"/>
                <w:szCs w:val="20"/>
                <w:lang w:val="pl-PL" w:eastAsia="en-US" w:bidi="ar-SA"/>
              </w:rPr>
              <w:t>X</w:t>
            </w:r>
          </w:p>
        </w:tc>
        <w:tc>
          <w:tcPr>
            <w:tcW w:w="3685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Liberation Sans" w:cs="Times New Roman" w:ascii="Times New Roman" w:hAnsi="Times New Roman"/>
                <w:b/>
                <w:kern w:val="0"/>
                <w:sz w:val="18"/>
                <w:szCs w:val="18"/>
                <w:lang w:val="pl-PL" w:eastAsia="en-US" w:bidi="ar-SA"/>
              </w:rPr>
              <w:t>nie uwzględniono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eastAsia="Liberation Sans" w:cs="Times New Roman" w:ascii="Times New Roman" w:hAnsi="Times New Roman"/>
                <w:kern w:val="0"/>
                <w:sz w:val="18"/>
                <w:szCs w:val="18"/>
                <w:lang w:val="pl-PL" w:eastAsia="en-US" w:bidi="ar-SA"/>
              </w:rPr>
              <w:t>wnioskowana działka znajduje się w terenie otwartym, poza terenem obszaru uzupełnienia zabudowy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8"/>
          <w:szCs w:val="20"/>
        </w:rPr>
      </w:pPr>
      <w:r>
        <w:rPr>
          <w:rFonts w:cs="Times New Roman" w:ascii="Times New Roman" w:hAnsi="Times New Roman"/>
          <w:sz w:val="18"/>
          <w:szCs w:val="20"/>
        </w:rPr>
      </w:r>
      <w:bookmarkStart w:id="1" w:name="_GoBack"/>
      <w:bookmarkStart w:id="2" w:name="_GoBack"/>
      <w:bookmarkEnd w:id="2"/>
    </w:p>
    <w:sectPr>
      <w:footerReference w:type="even" r:id="rId2"/>
      <w:footerReference w:type="default" r:id="rId3"/>
      <w:footerReference w:type="first" r:id="rId4"/>
      <w:type w:val="nextPage"/>
      <w:pgSz w:orient="landscape" w:w="16838" w:h="11906"/>
      <w:pgMar w:left="1417" w:right="1417" w:gutter="0" w:header="0" w:top="1417" w:footer="1417" w:bottom="196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Microsoft YaHe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Cambria Math">
    <w:charset w:val="ee"/>
    <w:family w:val="roman"/>
    <w:pitch w:val="variable"/>
  </w:font>
  <w:font w:name="Times New Roman">
    <w:charset w:val="ee"/>
    <w:family w:val="roman"/>
    <w:pitch w:val="variable"/>
  </w:font>
  <w:font w:name="Segoe UI Symbo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spacing w:before="0" w:after="1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spacing w:before="0" w:after="16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spacing w:before="0" w:after="16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18"/>
        <w:b/>
        <w:rFonts w:ascii="Times New Roman" w:hAnsi="Times New Roman" w:cs="Times New Roman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50" w:hanging="45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34" w:hanging="45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04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4" w:hanging="72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364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364" w:hanging="108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364" w:hanging="108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724" w:hanging="1440"/>
      </w:pPr>
      <w:rPr/>
    </w:lvl>
  </w:abstractNum>
  <w:abstractNum w:abstractNumId="2">
    <w:lvl w:ilvl="0">
      <w:start w:val="97"/>
      <w:numFmt w:val="decimal"/>
      <w:lvlText w:val="%1"/>
      <w:lvlJc w:val="left"/>
      <w:pPr>
        <w:tabs>
          <w:tab w:val="num" w:pos="0"/>
        </w:tabs>
        <w:ind w:left="510" w:hanging="510"/>
      </w:pPr>
      <w:rPr/>
    </w:lvl>
    <w:lvl w:ilvl="1">
      <w:start w:val="350"/>
      <w:numFmt w:val="decimal"/>
      <w:lvlText w:val="%1-%2"/>
      <w:lvlJc w:val="left"/>
      <w:pPr>
        <w:tabs>
          <w:tab w:val="num" w:pos="0"/>
        </w:tabs>
        <w:ind w:left="510" w:hanging="510"/>
      </w:pPr>
      <w:rPr/>
    </w:lvl>
    <w:lvl w:ilvl="2">
      <w:start w:val="1"/>
      <w:numFmt w:val="decimal"/>
      <w:lvlText w:val="%1-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-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-%2.%3.%4.%5"/>
      <w:lvlJc w:val="left"/>
      <w:pPr>
        <w:tabs>
          <w:tab w:val="num" w:pos="0"/>
        </w:tabs>
        <w:ind w:left="720" w:hanging="720"/>
      </w:pPr>
      <w:rPr/>
    </w:lvl>
    <w:lvl w:ilvl="5">
      <w:start w:val="1"/>
      <w:numFmt w:val="decimal"/>
      <w:lvlText w:val="%1-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-%2.%3.%4.%5.%6.%7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-%2.%3.%4.%5.%6.%7.%8"/>
      <w:lvlJc w:val="left"/>
      <w:pPr>
        <w:tabs>
          <w:tab w:val="num" w:pos="0"/>
        </w:tabs>
        <w:ind w:left="1080" w:hanging="1080"/>
      </w:pPr>
      <w:rPr/>
    </w:lvl>
    <w:lvl w:ilvl="8">
      <w:start w:val="1"/>
      <w:numFmt w:val="decimal"/>
      <w:lvlText w:val="%1-%2.%3.%4.%5.%6.%7.%8.%9"/>
      <w:lvlJc w:val="left"/>
      <w:pPr>
        <w:tabs>
          <w:tab w:val="num" w:pos="0"/>
        </w:tabs>
        <w:ind w:left="1440" w:hanging="1440"/>
      </w:pPr>
      <w:rPr/>
    </w:lvl>
  </w:abstractNum>
  <w:abstractNum w:abstractNumId="3">
    <w:lvl w:ilvl="0">
      <w:start w:val="97"/>
      <w:numFmt w:val="decimal"/>
      <w:lvlText w:val="%1"/>
      <w:lvlJc w:val="left"/>
      <w:pPr>
        <w:tabs>
          <w:tab w:val="num" w:pos="0"/>
        </w:tabs>
        <w:ind w:left="510" w:hanging="510"/>
      </w:pPr>
      <w:rPr/>
    </w:lvl>
    <w:lvl w:ilvl="1">
      <w:start w:val="350"/>
      <w:numFmt w:val="decimal"/>
      <w:lvlText w:val="%1-%2"/>
      <w:lvlJc w:val="left"/>
      <w:pPr>
        <w:tabs>
          <w:tab w:val="num" w:pos="0"/>
        </w:tabs>
        <w:ind w:left="510" w:hanging="510"/>
      </w:pPr>
      <w:rPr/>
    </w:lvl>
    <w:lvl w:ilvl="2">
      <w:start w:val="1"/>
      <w:numFmt w:val="decimal"/>
      <w:lvlText w:val="%1-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-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-%2.%3.%4.%5"/>
      <w:lvlJc w:val="left"/>
      <w:pPr>
        <w:tabs>
          <w:tab w:val="num" w:pos="0"/>
        </w:tabs>
        <w:ind w:left="720" w:hanging="720"/>
      </w:pPr>
      <w:rPr/>
    </w:lvl>
    <w:lvl w:ilvl="5">
      <w:start w:val="1"/>
      <w:numFmt w:val="decimal"/>
      <w:lvlText w:val="%1-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-%2.%3.%4.%5.%6.%7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-%2.%3.%4.%5.%6.%7.%8"/>
      <w:lvlJc w:val="left"/>
      <w:pPr>
        <w:tabs>
          <w:tab w:val="num" w:pos="0"/>
        </w:tabs>
        <w:ind w:left="1080" w:hanging="1080"/>
      </w:pPr>
      <w:rPr/>
    </w:lvl>
    <w:lvl w:ilvl="8">
      <w:start w:val="1"/>
      <w:numFmt w:val="decimal"/>
      <w:lvlText w:val="%1-%2.%3.%4.%5.%6.%7.%8.%9"/>
      <w:lvlJc w:val="left"/>
      <w:pPr>
        <w:tabs>
          <w:tab w:val="num" w:pos="0"/>
        </w:tabs>
        <w:ind w:left="1440" w:hanging="1440"/>
      </w:pPr>
      <w:rPr/>
    </w:lvl>
  </w:abstractNum>
  <w:abstractNum w:abstractNumId="4">
    <w:lvl w:ilvl="0">
      <w:start w:val="26"/>
      <w:numFmt w:val="decimal"/>
      <w:lvlText w:val="%1"/>
      <w:lvlJc w:val="left"/>
      <w:pPr>
        <w:tabs>
          <w:tab w:val="num" w:pos="0"/>
        </w:tabs>
        <w:ind w:left="510" w:hanging="510"/>
      </w:pPr>
      <w:rPr/>
    </w:lvl>
    <w:lvl w:ilvl="1">
      <w:start w:val="21"/>
      <w:numFmt w:val="decimalZero"/>
      <w:lvlText w:val="%1-%2"/>
      <w:lvlJc w:val="left"/>
      <w:pPr>
        <w:tabs>
          <w:tab w:val="num" w:pos="0"/>
        </w:tabs>
        <w:ind w:left="510" w:hanging="510"/>
      </w:pPr>
      <w:rPr/>
    </w:lvl>
    <w:lvl w:ilvl="2">
      <w:start w:val="1"/>
      <w:numFmt w:val="decimal"/>
      <w:lvlText w:val="%1-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-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-%2.%3.%4.%5"/>
      <w:lvlJc w:val="left"/>
      <w:pPr>
        <w:tabs>
          <w:tab w:val="num" w:pos="0"/>
        </w:tabs>
        <w:ind w:left="720" w:hanging="720"/>
      </w:pPr>
      <w:rPr/>
    </w:lvl>
    <w:lvl w:ilvl="5">
      <w:start w:val="1"/>
      <w:numFmt w:val="decimal"/>
      <w:lvlText w:val="%1-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-%2.%3.%4.%5.%6.%7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-%2.%3.%4.%5.%6.%7.%8"/>
      <w:lvlJc w:val="left"/>
      <w:pPr>
        <w:tabs>
          <w:tab w:val="num" w:pos="0"/>
        </w:tabs>
        <w:ind w:left="1080" w:hanging="1080"/>
      </w:pPr>
      <w:rPr/>
    </w:lvl>
    <w:lvl w:ilvl="8">
      <w:start w:val="1"/>
      <w:numFmt w:val="decimal"/>
      <w:lvlText w:val="%1-%2.%3.%4.%5.%6.%7.%8.%9"/>
      <w:lvlJc w:val="left"/>
      <w:pPr>
        <w:tabs>
          <w:tab w:val="num" w:pos="0"/>
        </w:tabs>
        <w:ind w:left="1440" w:hanging="144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Liberation Sans" w:cs="" w:asciiTheme="minorHAnsi" w:cstheme="minorBid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b799c"/>
    <w:pPr>
      <w:widowControl/>
      <w:bidi w:val="0"/>
      <w:spacing w:lineRule="auto" w:line="259" w:before="0" w:after="160"/>
      <w:jc w:val="left"/>
    </w:pPr>
    <w:rPr>
      <w:rFonts w:ascii="Calibri" w:hAnsi="Calibri" w:eastAsia="Liberation Sans" w:cs="" w:asciiTheme="minorHAnsi" w:cstheme="minorBid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54392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54392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54392a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4392a"/>
    <w:rPr>
      <w:rFonts w:ascii="Microsoft YaHei" w:hAnsi="Microsoft YaHei" w:cs="Microsoft YaHei"/>
      <w:sz w:val="18"/>
      <w:szCs w:val="18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ee1fc0"/>
    <w:rPr>
      <w:sz w:val="20"/>
      <w:szCs w:val="20"/>
    </w:rPr>
  </w:style>
  <w:style w:type="character" w:styleId="FootnoteReference" w:customStyle="1">
    <w:name w:val="footnote reference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ee1fc0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Batang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Batang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Batang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Cambria Math" w:hAnsi="Cambria Math" w:eastAsia="@Batang" w:cs="Batang"/>
      <w:sz w:val="28"/>
      <w:szCs w:val="28"/>
    </w:rPr>
  </w:style>
  <w:style w:type="paragraph" w:styleId="ListParagraph">
    <w:name w:val="List Paragraph"/>
    <w:basedOn w:val="Normal"/>
    <w:uiPriority w:val="34"/>
    <w:qFormat/>
    <w:rsid w:val="004c08ab"/>
    <w:pPr>
      <w:spacing w:before="0" w:after="160"/>
      <w:ind w:left="720"/>
      <w:contextualSpacing/>
    </w:pPr>
    <w:rPr/>
  </w:style>
  <w:style w:type="paragraph" w:styleId="CommentText">
    <w:name w:val="annotation text"/>
    <w:basedOn w:val="Normal"/>
    <w:link w:val="TekstkomentarzaZnak"/>
    <w:uiPriority w:val="99"/>
    <w:unhideWhenUsed/>
    <w:qFormat/>
    <w:rsid w:val="0054392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54392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4392a"/>
    <w:pPr>
      <w:spacing w:lineRule="auto" w:line="240" w:before="0" w:after="0"/>
    </w:pPr>
    <w:rPr>
      <w:rFonts w:ascii="Microsoft YaHei" w:hAnsi="Microsoft YaHei" w:cs="Microsoft YaHei"/>
      <w:sz w:val="18"/>
      <w:szCs w:val="18"/>
    </w:rPr>
  </w:style>
  <w:style w:type="paragraph" w:styleId="Revision">
    <w:name w:val="Revision"/>
    <w:uiPriority w:val="99"/>
    <w:semiHidden/>
    <w:qFormat/>
    <w:rsid w:val="00360692"/>
    <w:pPr>
      <w:widowControl/>
      <w:bidi w:val="0"/>
      <w:spacing w:before="0" w:after="0"/>
      <w:jc w:val="left"/>
    </w:pPr>
    <w:rPr>
      <w:rFonts w:ascii="Calibri" w:hAnsi="Calibri" w:eastAsia="Liberation Sans" w:cs="" w:asciiTheme="minorHAnsi" w:cstheme="minorBidi" w:hAnsiTheme="minorHAnsi"/>
      <w:color w:val="auto"/>
      <w:kern w:val="0"/>
      <w:sz w:val="22"/>
      <w:szCs w:val="22"/>
      <w:lang w:val="pl-PL" w:eastAsia="en-US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ee1fc0"/>
    <w:pPr>
      <w:spacing w:lineRule="auto" w:line="240" w:before="0" w:after="0"/>
    </w:pPr>
    <w:rPr>
      <w:sz w:val="20"/>
      <w:szCs w:val="20"/>
    </w:rPr>
  </w:style>
  <w:style w:type="paragraph" w:styleId="Footer">
    <w:name w:val="footer"/>
    <w:basedOn w:val="Normal"/>
    <w:pPr>
      <w:suppressLineNumbers/>
      <w:tabs>
        <w:tab w:val="clear" w:pos="708"/>
        <w:tab w:val="center" w:pos="7002" w:leader="none"/>
        <w:tab w:val="right" w:pos="14004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c08a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DCF96-D736-4B9C-8AFB-E9F406A52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LibreOffice/24.8.3.2$Windows_X86_64 LibreOffice_project/48a6bac9e7e268aeb4c3483fcf825c94556d9f92</Application>
  <AppVersion>15.0000</AppVersion>
  <DocSecurity>0</DocSecurity>
  <Pages>41</Pages>
  <Words>33672</Words>
  <Characters>197755</Characters>
  <CharactersWithSpaces>227502</CharactersWithSpaces>
  <Paragraphs>6711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2025-12-22T11:55:00Z</dcterms:created>
  <dc:creator>Konto Microsoft</dc:creator>
  <dc:description/>
  <dc:language>pl-PL</dc:language>
  <cp:lastModifiedBy>Konto Microsoft</cp:lastModifiedBy>
  <dcterms:modified xsi:type="dcterms:W3CDTF">2025-12-22T12:00:00Z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