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before="0" w:after="0"/>
        <w:rPr>
          <w:rFonts w:ascii="Times New Roman" w:hAnsi="Times New Roman" w:cs="Cambria"/>
          <w:sz w:val="20"/>
          <w:szCs w:val="20"/>
        </w:rPr>
      </w:pPr>
      <w:r>
        <w:rPr>
          <w:rFonts w:cs="Cambria" w:ascii="Times New Roman" w:hAnsi="Times New Roman"/>
          <w:sz w:val="20"/>
          <w:szCs w:val="20"/>
        </w:rPr>
        <w:t>UG.0050. 82.2024</w:t>
      </w:r>
    </w:p>
    <w:p>
      <w:pPr>
        <w:pStyle w:val="NormalWeb"/>
        <w:spacing w:before="0" w:after="0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  <w:t>Zarządzenie Nr  82/2024</w:t>
      </w:r>
    </w:p>
    <w:p>
      <w:pPr>
        <w:pStyle w:val="NormalWeb"/>
        <w:spacing w:before="280" w:after="0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  <w:t>Wójta Gminy Gorzkowice</w:t>
      </w:r>
    </w:p>
    <w:p>
      <w:pPr>
        <w:pStyle w:val="NormalWeb"/>
        <w:spacing w:before="280" w:after="0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  <w:t>z dnia  27  grudnia  2024 roku</w:t>
      </w:r>
    </w:p>
    <w:p>
      <w:pPr>
        <w:pStyle w:val="NormalWeb"/>
        <w:spacing w:before="280" w:after="0"/>
        <w:jc w:val="center"/>
        <w:rPr/>
      </w:pPr>
      <w:r>
        <w:rPr>
          <w:rFonts w:eastAsia="Cambria" w:cs="Cambria" w:ascii="Cambria" w:hAnsi="Cambria"/>
          <w:b/>
          <w:bCs/>
          <w:sz w:val="22"/>
          <w:szCs w:val="22"/>
        </w:rPr>
        <w:t xml:space="preserve"> </w:t>
      </w:r>
      <w:r>
        <w:rPr>
          <w:rFonts w:cs="Cambria" w:ascii="Cambria" w:hAnsi="Cambria"/>
          <w:b/>
          <w:bCs/>
          <w:sz w:val="22"/>
          <w:szCs w:val="22"/>
        </w:rPr>
        <w:t xml:space="preserve">w sprawie ustalenia  Regulaminu wynagradzania pracowników zatrudnionych </w:t>
        <w:br/>
        <w:t>w Urzędzie Gminy w Gorzkowicach</w:t>
      </w:r>
    </w:p>
    <w:p>
      <w:pPr>
        <w:pStyle w:val="NormalWeb"/>
        <w:spacing w:before="280" w:after="0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</w:r>
    </w:p>
    <w:p>
      <w:pPr>
        <w:pStyle w:val="NormalWeb"/>
        <w:spacing w:lineRule="auto" w:line="360" w:before="0" w:after="0"/>
        <w:jc w:val="both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Na podstawie art. 39 ustawy z dnia 21 listopada 2008 r. o pracownikach samorządowych</w:t>
      </w:r>
    </w:p>
    <w:p>
      <w:pPr>
        <w:pStyle w:val="NormalWeb"/>
        <w:spacing w:lineRule="auto" w:line="360" w:before="0" w:after="0"/>
        <w:jc w:val="both"/>
        <w:rPr/>
      </w:pPr>
      <w:r>
        <w:rPr>
          <w:rFonts w:cs="Cambria" w:ascii="Cambria" w:hAnsi="Cambria"/>
          <w:sz w:val="22"/>
          <w:szCs w:val="22"/>
        </w:rPr>
        <w:t>(Dz. U z 2024 , poz.1135) oraz r</w:t>
      </w:r>
      <w:r>
        <w:rPr>
          <w:rFonts w:cs="Cambria" w:ascii="Cambria" w:hAnsi="Cambria"/>
          <w:sz w:val="22"/>
          <w:szCs w:val="22"/>
          <w:shd w:fill="FFFFFF" w:val="clear"/>
        </w:rPr>
        <w:t>ozporządzenia Rady Ministrów z dnia 25 października  2021 roku</w:t>
      </w:r>
    </w:p>
    <w:p>
      <w:pPr>
        <w:pStyle w:val="NormalWeb"/>
        <w:spacing w:lineRule="auto" w:line="360" w:before="0" w:after="0"/>
        <w:jc w:val="both"/>
        <w:rPr/>
      </w:pPr>
      <w:r>
        <w:rPr>
          <w:rFonts w:cs="Cambria" w:ascii="Cambria" w:hAnsi="Cambria"/>
          <w:sz w:val="22"/>
          <w:szCs w:val="22"/>
          <w:shd w:fill="FFFFFF" w:val="clear"/>
        </w:rPr>
        <w:t xml:space="preserve"> </w:t>
      </w:r>
      <w:r>
        <w:rPr>
          <w:rFonts w:cs="Cambria" w:ascii="Cambria" w:hAnsi="Cambria"/>
          <w:sz w:val="22"/>
          <w:szCs w:val="22"/>
          <w:shd w:fill="FFFFFF" w:val="clear"/>
        </w:rPr>
        <w:t>w sprawie wynagradzania pracowników samorządowych (Dz. U. z 2021  poz. 1960)</w:t>
      </w:r>
    </w:p>
    <w:p>
      <w:pPr>
        <w:pStyle w:val="NormalWeb"/>
        <w:spacing w:lineRule="auto" w:line="360" w:before="0" w:after="0"/>
        <w:jc w:val="center"/>
        <w:rPr/>
      </w:pPr>
      <w:r>
        <w:rPr>
          <w:rFonts w:eastAsia="Cambria" w:cs="Cambria" w:ascii="Cambria" w:hAnsi="Cambria"/>
          <w:sz w:val="22"/>
          <w:szCs w:val="22"/>
        </w:rPr>
        <w:t xml:space="preserve"> </w:t>
      </w:r>
      <w:r>
        <w:rPr>
          <w:rFonts w:cs="Cambria" w:ascii="Cambria" w:hAnsi="Cambria"/>
          <w:b/>
          <w:bCs/>
          <w:sz w:val="22"/>
          <w:szCs w:val="22"/>
        </w:rPr>
        <w:t>zarządza się , co następuje :</w:t>
      </w:r>
    </w:p>
    <w:p>
      <w:pPr>
        <w:pStyle w:val="NormalWeb"/>
        <w:spacing w:before="280" w:after="0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  <w:t>§ 1.</w:t>
      </w:r>
    </w:p>
    <w:p>
      <w:pPr>
        <w:pStyle w:val="NormalWeb"/>
        <w:spacing w:before="280" w:after="0"/>
        <w:jc w:val="both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Ustalam Regulamin wynagradzania pracowników samorządowych , zatrudnionych na podstawie umowy o pracę w Urzędzie Gminy Gorzkowice, w brzmieniu stanowiącym załącznik do niniejszego zarządzenia.</w:t>
      </w:r>
    </w:p>
    <w:p>
      <w:pPr>
        <w:pStyle w:val="NormalWeb"/>
        <w:spacing w:before="280" w:after="0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  <w:t>§ 2.</w:t>
      </w:r>
    </w:p>
    <w:p>
      <w:pPr>
        <w:pStyle w:val="NormalWeb"/>
        <w:spacing w:before="280" w:after="0"/>
        <w:jc w:val="both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 xml:space="preserve">Traci moc Zarządzenie  Nr 74/2022 z dnia 16 listopada 2022 roku oraz Zarządzenie Nr 91/2019 z dnia  11 grudnia  2019 roku z późn. zm.  w sprawie wprowadzenia regulaminu wynagradzania pracowników  zatrudnionych w Urzędzie Gminy w Gorzkowicach.  </w:t>
      </w:r>
    </w:p>
    <w:p>
      <w:pPr>
        <w:pStyle w:val="NormalWeb"/>
        <w:spacing w:before="280" w:after="0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  <w:t>§ 3.</w:t>
      </w:r>
    </w:p>
    <w:p>
      <w:pPr>
        <w:pStyle w:val="NormalWeb"/>
        <w:spacing w:before="280" w:after="0"/>
        <w:jc w:val="both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Wykonanie zarządzenia powierza się  Sekretarzowi Gminy.</w:t>
      </w:r>
    </w:p>
    <w:p>
      <w:pPr>
        <w:pStyle w:val="NormalWeb"/>
        <w:spacing w:before="280" w:after="0"/>
        <w:jc w:val="both"/>
        <w:rPr/>
      </w:pPr>
      <w:r>
        <w:rPr>
          <w:rFonts w:eastAsia="Cambria" w:cs="Cambria" w:ascii="Cambria" w:hAnsi="Cambria"/>
          <w:sz w:val="22"/>
          <w:szCs w:val="22"/>
        </w:rPr>
        <w:t xml:space="preserve"> </w:t>
      </w:r>
      <w:r>
        <w:rPr>
          <w:rFonts w:cs="Cambria" w:ascii="Cambria" w:hAnsi="Cambria"/>
          <w:sz w:val="22"/>
          <w:szCs w:val="22"/>
        </w:rPr>
        <w:br/>
        <w:tab/>
        <w:tab/>
        <w:tab/>
        <w:tab/>
        <w:tab/>
        <w:tab/>
        <w:t xml:space="preserve">       </w:t>
      </w:r>
      <w:r>
        <w:rPr>
          <w:rFonts w:cs="Cambria" w:ascii="Cambria" w:hAnsi="Cambria"/>
          <w:b/>
          <w:bCs/>
          <w:sz w:val="22"/>
          <w:szCs w:val="22"/>
        </w:rPr>
        <w:t>§ 4.</w:t>
      </w:r>
    </w:p>
    <w:p>
      <w:pPr>
        <w:pStyle w:val="NormalWeb"/>
        <w:spacing w:before="280" w:after="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Regulamin podaje się do wiadomości pracowników Urzędu Gminy w Gorzkowicach .</w:t>
      </w:r>
    </w:p>
    <w:p>
      <w:pPr>
        <w:pStyle w:val="NormalWeb"/>
        <w:spacing w:before="280" w:after="0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  <w:t>§ 5.</w:t>
      </w:r>
    </w:p>
    <w:p>
      <w:pPr>
        <w:pStyle w:val="NormalWeb"/>
        <w:spacing w:before="280" w:after="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Zarządzenie wchodzi w życie po upływie 14 dni od daty podania pracownikom treści regulaminu do wiadomości z mocą obowiązująca od 01.01.2025 roku.</w:t>
      </w:r>
    </w:p>
    <w:p>
      <w:pPr>
        <w:pStyle w:val="Standard"/>
        <w:spacing w:lineRule="auto" w:line="360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  <w:t xml:space="preserve">  </w:t>
      </w:r>
      <w:r>
        <w:rPr>
          <w:rFonts w:eastAsia="Cambria" w:cs="Cambria" w:ascii="Cambria" w:hAnsi="Cambria"/>
          <w:sz w:val="22"/>
          <w:szCs w:val="22"/>
        </w:rPr>
        <w:tab/>
        <w:tab/>
        <w:tab/>
        <w:tab/>
        <w:tab/>
        <w:tab/>
        <w:tab/>
        <w:tab/>
        <w:tab/>
        <w:tab/>
        <w:tab/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ind w:left="4248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 xml:space="preserve">         </w:t>
      </w:r>
      <w:r>
        <w:rPr>
          <w:rFonts w:cs="Cambria" w:ascii="Cambria" w:hAnsi="Cambria"/>
          <w:sz w:val="22"/>
          <w:szCs w:val="22"/>
        </w:rPr>
        <w:t>Załącznik nr 1 do    Zarządzenia Nr 82/2024</w:t>
      </w:r>
    </w:p>
    <w:p>
      <w:pPr>
        <w:pStyle w:val="Standard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ab/>
        <w:tab/>
        <w:tab/>
        <w:tab/>
        <w:tab/>
        <w:tab/>
        <w:tab/>
        <w:tab/>
        <w:t xml:space="preserve">                 Wójta Gminy Gorzkowice  </w:t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  <w:tab/>
        <w:tab/>
        <w:tab/>
        <w:tab/>
        <w:tab/>
        <w:tab/>
        <w:tab/>
        <w:t xml:space="preserve">                        z dnia 27 grudnia  2024 roku</w:t>
      </w:r>
    </w:p>
    <w:p>
      <w:pPr>
        <w:pStyle w:val="NormalWeb"/>
        <w:spacing w:lineRule="auto" w:line="360" w:before="0" w:after="0"/>
        <w:rPr>
          <w:rFonts w:ascii="Calibri" w:hAnsi="Calibri" w:cs="Calibri"/>
          <w:b/>
          <w:bCs/>
          <w:sz w:val="26"/>
          <w:szCs w:val="26"/>
        </w:rPr>
      </w:pPr>
      <w:r>
        <w:rPr>
          <w:rFonts w:cs="Calibri" w:ascii="Calibri" w:hAnsi="Calibri"/>
          <w:b/>
          <w:bCs/>
          <w:sz w:val="26"/>
          <w:szCs w:val="26"/>
        </w:rPr>
      </w:r>
    </w:p>
    <w:p>
      <w:pPr>
        <w:pStyle w:val="NormalWeb"/>
        <w:spacing w:lineRule="auto" w:line="360" w:before="0" w:after="0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  <w:t>Regulamin wynagradzania pracowników zatrudnionych</w:t>
      </w:r>
    </w:p>
    <w:p>
      <w:pPr>
        <w:pStyle w:val="NormalWeb"/>
        <w:spacing w:lineRule="auto" w:line="360" w:before="0" w:after="0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  <w:t>w Urzędzie Gminy w Gorzkowicach</w:t>
      </w:r>
    </w:p>
    <w:p>
      <w:pPr>
        <w:pStyle w:val="Standard"/>
        <w:spacing w:lineRule="auto" w:line="360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</w:r>
    </w:p>
    <w:p>
      <w:pPr>
        <w:pStyle w:val="Standard"/>
        <w:spacing w:lineRule="auto" w:line="360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  <w:t>Postanowienia ogólne</w:t>
      </w:r>
    </w:p>
    <w:p>
      <w:pPr>
        <w:pStyle w:val="NormalWeb"/>
        <w:spacing w:lineRule="auto" w:line="360" w:before="0" w:after="0"/>
        <w:ind w:left="11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  <w:t>§ 1.</w:t>
      </w:r>
    </w:p>
    <w:p>
      <w:pPr>
        <w:pStyle w:val="NormalWeb"/>
        <w:spacing w:lineRule="auto" w:line="360" w:before="0" w:after="0"/>
        <w:ind w:left="391"/>
        <w:jc w:val="both"/>
        <w:rPr/>
      </w:pPr>
      <w:r>
        <w:rPr>
          <w:rFonts w:cs="Cambria" w:ascii="Cambria" w:hAnsi="Cambria"/>
          <w:bCs/>
          <w:sz w:val="22"/>
          <w:szCs w:val="22"/>
        </w:rPr>
        <w:t>1.</w:t>
      </w:r>
      <w:r>
        <w:rPr>
          <w:rFonts w:cs="Cambria" w:ascii="Cambria" w:hAnsi="Cambria"/>
          <w:sz w:val="22"/>
          <w:szCs w:val="22"/>
        </w:rPr>
        <w:t xml:space="preserve">Regulamin wynagradzania pracowników, zwany dalej regulaminem, określa warunki </w:t>
        <w:br/>
        <w:t>i zasady wynagradzania za pracę pracowników oraz przyznawania innych składników wynagradzania, świadczeń i dodatków związanych z pracą.</w:t>
      </w:r>
    </w:p>
    <w:p>
      <w:pPr>
        <w:pStyle w:val="NormalWeb"/>
        <w:tabs>
          <w:tab w:val="clear" w:pos="708"/>
          <w:tab w:val="left" w:pos="680" w:leader="none"/>
        </w:tabs>
        <w:spacing w:lineRule="auto" w:line="360" w:before="0" w:after="0"/>
        <w:ind w:left="391"/>
        <w:jc w:val="both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2.Regulamin wynagradzania pracowników określa w szczególności:</w:t>
      </w:r>
    </w:p>
    <w:p>
      <w:pPr>
        <w:pStyle w:val="NormalWeb"/>
        <w:tabs>
          <w:tab w:val="clear" w:pos="708"/>
          <w:tab w:val="left" w:pos="2880" w:leader="none"/>
        </w:tabs>
        <w:spacing w:lineRule="auto" w:line="360" w:before="0" w:after="0"/>
        <w:ind w:hanging="360" w:left="720"/>
        <w:jc w:val="both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ab/>
        <w:t>1. wymagania kwalifikacyjne pracowników,</w:t>
      </w:r>
    </w:p>
    <w:p>
      <w:pPr>
        <w:pStyle w:val="NormalWeb"/>
        <w:tabs>
          <w:tab w:val="clear" w:pos="708"/>
          <w:tab w:val="left" w:pos="2880" w:leader="none"/>
        </w:tabs>
        <w:spacing w:lineRule="auto" w:line="360" w:before="0" w:after="0"/>
        <w:ind w:hanging="360" w:left="720"/>
        <w:jc w:val="both"/>
        <w:rPr/>
      </w:pPr>
      <w:r>
        <w:rPr>
          <w:rFonts w:eastAsia="Cambria" w:cs="Cambria" w:ascii="Cambria" w:hAnsi="Cambria"/>
          <w:sz w:val="22"/>
          <w:szCs w:val="22"/>
        </w:rPr>
        <w:t xml:space="preserve"> </w:t>
      </w:r>
      <w:r>
        <w:rPr>
          <w:rFonts w:eastAsia="Calibri" w:cs="Cambria" w:ascii="Cambria" w:hAnsi="Cambria"/>
          <w:sz w:val="22"/>
          <w:szCs w:val="22"/>
        </w:rPr>
        <w:tab/>
      </w:r>
      <w:r>
        <w:rPr>
          <w:rFonts w:cs="Cambria" w:ascii="Cambria" w:hAnsi="Cambria"/>
          <w:sz w:val="22"/>
          <w:szCs w:val="22"/>
        </w:rPr>
        <w:t>2. szczegółowe warunki wynagradzania, w tym maksymalny poziom wynagrodzenia zasadniczego.</w:t>
      </w:r>
    </w:p>
    <w:p>
      <w:pPr>
        <w:pStyle w:val="NormalWeb"/>
        <w:spacing w:lineRule="auto" w:line="360" w:before="0" w:after="0"/>
        <w:ind w:firstLine="4706" w:left="11" w:right="4610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NormalWeb"/>
        <w:tabs>
          <w:tab w:val="clear" w:pos="708"/>
          <w:tab w:val="left" w:pos="-15" w:leader="none"/>
        </w:tabs>
        <w:spacing w:lineRule="auto" w:line="360" w:before="0" w:after="0"/>
        <w:ind w:firstLine="4706" w:right="57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  <w:t>§  2.</w:t>
      </w:r>
    </w:p>
    <w:p>
      <w:pPr>
        <w:pStyle w:val="NormalWeb"/>
        <w:tabs>
          <w:tab w:val="clear" w:pos="708"/>
          <w:tab w:val="left" w:pos="-15" w:leader="none"/>
        </w:tabs>
        <w:spacing w:lineRule="auto" w:line="360" w:before="0" w:after="0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  <w:t>Ilekroć  w regulaminie jest mowa o :</w:t>
      </w:r>
    </w:p>
    <w:p>
      <w:pPr>
        <w:pStyle w:val="NormalWeb"/>
        <w:numPr>
          <w:ilvl w:val="0"/>
          <w:numId w:val="10"/>
        </w:numPr>
        <w:tabs>
          <w:tab w:val="clear" w:pos="708"/>
          <w:tab w:val="left" w:pos="2880" w:leader="none"/>
        </w:tabs>
        <w:spacing w:lineRule="auto" w:line="360" w:before="0" w:after="0"/>
        <w:jc w:val="both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pracodawcy - rozumie się przez to Urząd Gminy w Gorzkowicach</w:t>
      </w:r>
    </w:p>
    <w:p>
      <w:pPr>
        <w:pStyle w:val="NormalWeb"/>
        <w:numPr>
          <w:ilvl w:val="0"/>
          <w:numId w:val="11"/>
        </w:numPr>
        <w:tabs>
          <w:tab w:val="clear" w:pos="708"/>
          <w:tab w:val="left" w:pos="2880" w:leader="none"/>
        </w:tabs>
        <w:spacing w:lineRule="auto" w:line="360" w:before="0" w:after="0"/>
        <w:jc w:val="both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pracownikach - rozumie się przez to wszystkie osoby zatrudnione u Pracodawcy w ramach stosunku pracy, bez względu na rodzaj umowy o pracę i wymiar czasu pracy.</w:t>
      </w:r>
    </w:p>
    <w:p>
      <w:pPr>
        <w:pStyle w:val="NormalWeb"/>
        <w:numPr>
          <w:ilvl w:val="0"/>
          <w:numId w:val="12"/>
        </w:numPr>
        <w:spacing w:lineRule="auto" w:line="360" w:before="0" w:after="0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</w:rPr>
        <w:t xml:space="preserve">rozporządzeniu – rozumie się przez to rozporządzenie Rady Ministrów </w:t>
      </w:r>
      <w:r>
        <w:rPr>
          <w:rFonts w:cs="Cambria" w:ascii="Cambria" w:hAnsi="Cambria"/>
          <w:sz w:val="22"/>
          <w:szCs w:val="22"/>
          <w:shd w:fill="FFFFFF" w:val="clear"/>
        </w:rPr>
        <w:t xml:space="preserve">z dnia </w:t>
      </w:r>
    </w:p>
    <w:p>
      <w:pPr>
        <w:pStyle w:val="NormalWeb"/>
        <w:spacing w:lineRule="auto" w:line="360" w:before="0" w:after="0"/>
        <w:ind w:left="720"/>
        <w:jc w:val="both"/>
        <w:rPr/>
      </w:pPr>
      <w:r>
        <w:rPr>
          <w:rFonts w:cs="Cambria" w:ascii="Cambria" w:hAnsi="Cambria"/>
          <w:sz w:val="22"/>
          <w:szCs w:val="22"/>
          <w:shd w:fill="FFFFFF" w:val="clear"/>
        </w:rPr>
        <w:t>25 października 2021 roku w sprawie wynagradzania pracowników samorządowych</w:t>
      </w:r>
    </w:p>
    <w:p>
      <w:pPr>
        <w:pStyle w:val="NormalWeb"/>
        <w:spacing w:lineRule="auto" w:line="360" w:before="0" w:after="0"/>
        <w:ind w:firstLine="6" w:left="28"/>
        <w:jc w:val="both"/>
        <w:rPr/>
      </w:pPr>
      <w:r>
        <w:rPr>
          <w:rFonts w:eastAsia="Cambria" w:cs="Cambria" w:ascii="Cambria" w:hAnsi="Cambria"/>
          <w:sz w:val="22"/>
          <w:szCs w:val="22"/>
        </w:rPr>
        <w:t xml:space="preserve">      </w:t>
      </w:r>
      <w:r>
        <w:rPr>
          <w:rFonts w:cs="Cambria" w:ascii="Cambria" w:hAnsi="Cambria"/>
          <w:sz w:val="22"/>
          <w:szCs w:val="22"/>
        </w:rPr>
        <w:t xml:space="preserve">4.    ustawie – rozumie się przez to ustawę z dnia </w:t>
      </w:r>
      <w:r>
        <w:rPr>
          <w:rFonts w:cs="Cambria" w:ascii="Cambria" w:hAnsi="Cambria"/>
          <w:sz w:val="22"/>
          <w:szCs w:val="22"/>
          <w:shd w:fill="FFFFFF" w:val="clear"/>
        </w:rPr>
        <w:t>21 listopada  2008 r. o pracownikach</w:t>
      </w:r>
    </w:p>
    <w:p>
      <w:pPr>
        <w:pStyle w:val="NormalWeb"/>
        <w:spacing w:lineRule="auto" w:line="360" w:before="0" w:after="0"/>
        <w:ind w:firstLine="6" w:left="28"/>
        <w:jc w:val="both"/>
        <w:rPr/>
      </w:pPr>
      <w:r>
        <w:rPr>
          <w:rFonts w:eastAsia="Cambria" w:cs="Cambria" w:ascii="Cambria" w:hAnsi="Cambria"/>
          <w:sz w:val="22"/>
          <w:szCs w:val="22"/>
          <w:shd w:fill="FFFFFF" w:val="clear"/>
        </w:rPr>
        <w:t xml:space="preserve">              </w:t>
      </w:r>
      <w:r>
        <w:rPr>
          <w:rFonts w:cs="Cambria" w:ascii="Cambria" w:hAnsi="Cambria"/>
          <w:sz w:val="22"/>
          <w:szCs w:val="22"/>
          <w:shd w:fill="FFFFFF" w:val="clear"/>
        </w:rPr>
        <w:t>samorządowych.</w:t>
      </w:r>
    </w:p>
    <w:p>
      <w:pPr>
        <w:pStyle w:val="NormalWeb"/>
        <w:spacing w:lineRule="auto" w:line="360" w:before="0" w:after="0"/>
        <w:ind w:firstLine="6" w:left="28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</w:r>
    </w:p>
    <w:p>
      <w:pPr>
        <w:pStyle w:val="NormalWeb"/>
        <w:spacing w:lineRule="auto" w:line="360" w:before="0" w:after="0"/>
        <w:ind w:firstLine="6" w:left="28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  <w:t>§ 3.</w:t>
      </w:r>
    </w:p>
    <w:p>
      <w:pPr>
        <w:pStyle w:val="NormalWeb"/>
        <w:spacing w:lineRule="auto" w:line="360" w:before="0" w:after="0"/>
        <w:jc w:val="both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Regulamin obejmuje wszystkich pracowników zatrudnionych na podstawie umowy o pracę, bez względu na jej rodzaj i czas trwania oraz wymiar czasu pracy.</w:t>
      </w:r>
    </w:p>
    <w:p>
      <w:pPr>
        <w:pStyle w:val="NormalWeb"/>
        <w:spacing w:lineRule="auto" w:line="360" w:before="0" w:after="0"/>
        <w:ind w:left="6"/>
        <w:jc w:val="both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</w:r>
    </w:p>
    <w:p>
      <w:pPr>
        <w:pStyle w:val="NormalWeb"/>
        <w:spacing w:lineRule="auto" w:line="360" w:before="0" w:after="0"/>
        <w:ind w:left="6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  <w:t>§ 4.</w:t>
      </w:r>
    </w:p>
    <w:p>
      <w:pPr>
        <w:pStyle w:val="NormalWeb"/>
        <w:spacing w:lineRule="auto" w:line="360" w:before="0" w:after="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1.   Każdy pracownik przed dopuszczeniem do pracy zostaje zapoznany z niniejszym regulaminem.</w:t>
      </w:r>
    </w:p>
    <w:p>
      <w:pPr>
        <w:pStyle w:val="NormalWeb"/>
        <w:spacing w:lineRule="auto" w:line="360" w:before="0" w:after="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2.   Zapoznanie się z regulaminem każdy pracownik potwierdza własnoręcznym podpisem.</w:t>
      </w:r>
    </w:p>
    <w:p>
      <w:pPr>
        <w:pStyle w:val="Standard"/>
        <w:spacing w:before="672" w:after="0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  <w:t>Wynagradzanie za pracę</w:t>
      </w:r>
    </w:p>
    <w:p>
      <w:pPr>
        <w:pStyle w:val="NormalWeb"/>
        <w:spacing w:lineRule="auto" w:line="360" w:before="0" w:after="0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</w:r>
    </w:p>
    <w:p>
      <w:pPr>
        <w:pStyle w:val="NormalWeb"/>
        <w:spacing w:lineRule="auto" w:line="360" w:before="0" w:after="0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  <w:t>§ 5.</w:t>
      </w:r>
    </w:p>
    <w:p>
      <w:pPr>
        <w:pStyle w:val="NormalWeb"/>
        <w:spacing w:lineRule="auto" w:line="360" w:before="0" w:after="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 xml:space="preserve">Wynagrodzenie miesięczne pracowników  ustala się w oparciu o ustawę ,  rozporządzenie </w:t>
        <w:br/>
        <w:t>i niniejszy regulamin w ten sposób  aby odpowiadało w szczególności rodzajowi wykonywanej pracy  i kwalifikacjom wymaganym przy jej wykonywaniu, a także uwzględniało ilość i jakość świadczonej pracy.</w:t>
      </w:r>
    </w:p>
    <w:p>
      <w:pPr>
        <w:pStyle w:val="Standard"/>
        <w:spacing w:lineRule="auto" w:line="360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  <w:t>§ 6.</w:t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Pracownikom z tytułu świadczenia pracy na rzecz urzędu, przysługują następujące składniki wynagrodzenia:</w:t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1)   wynagrodzenie zasadnicze,</w:t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2)   dodatek funkcyjny,</w:t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3)   dodatek za wieloletnia pracę,</w:t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4)   dodatek za pracę w:</w:t>
      </w:r>
    </w:p>
    <w:p>
      <w:pPr>
        <w:pStyle w:val="Standard"/>
        <w:spacing w:lineRule="auto" w:line="360"/>
        <w:rPr/>
      </w:pPr>
      <w:r>
        <w:rPr>
          <w:rFonts w:eastAsia="Cambria" w:cs="Cambria" w:ascii="Cambria" w:hAnsi="Cambria"/>
          <w:sz w:val="22"/>
          <w:szCs w:val="22"/>
        </w:rPr>
        <w:t xml:space="preserve">     </w:t>
      </w:r>
      <w:r>
        <w:rPr>
          <w:rFonts w:cs="Cambria" w:ascii="Cambria" w:hAnsi="Cambria"/>
          <w:sz w:val="22"/>
          <w:szCs w:val="22"/>
        </w:rPr>
        <w:t>A) porze nocnej,</w:t>
      </w:r>
    </w:p>
    <w:p>
      <w:pPr>
        <w:pStyle w:val="Standard"/>
        <w:spacing w:lineRule="auto" w:line="360"/>
        <w:rPr/>
      </w:pPr>
      <w:r>
        <w:rPr>
          <w:rFonts w:eastAsia="Cambria" w:cs="Cambria" w:ascii="Cambria" w:hAnsi="Cambria"/>
          <w:sz w:val="22"/>
          <w:szCs w:val="22"/>
        </w:rPr>
        <w:t xml:space="preserve">     </w:t>
      </w:r>
      <w:r>
        <w:rPr>
          <w:rFonts w:cs="Cambria" w:ascii="Cambria" w:hAnsi="Cambria"/>
          <w:sz w:val="22"/>
          <w:szCs w:val="22"/>
        </w:rPr>
        <w:t>B)  dodatek za pracę w niedzielę i Święta ( praca wykonywana między godziną 0</w:t>
      </w:r>
      <w:r>
        <w:rPr>
          <w:rFonts w:cs="Cambria" w:ascii="Cambria" w:hAnsi="Cambria"/>
          <w:sz w:val="22"/>
          <w:szCs w:val="22"/>
          <w:vertAlign w:val="superscript"/>
        </w:rPr>
        <w:t xml:space="preserve">00 </w:t>
      </w:r>
      <w:r>
        <w:rPr>
          <w:rFonts w:cs="Cambria" w:ascii="Cambria" w:hAnsi="Cambria"/>
          <w:sz w:val="22"/>
          <w:szCs w:val="22"/>
        </w:rPr>
        <w:t>a godziną 24</w:t>
      </w:r>
      <w:r>
        <w:rPr>
          <w:rFonts w:cs="Cambria" w:ascii="Cambria" w:hAnsi="Cambria"/>
          <w:sz w:val="22"/>
          <w:szCs w:val="22"/>
          <w:vertAlign w:val="superscript"/>
        </w:rPr>
        <w:t>00</w:t>
      </w:r>
      <w:r>
        <w:rPr>
          <w:rFonts w:cs="Cambria" w:ascii="Cambria" w:hAnsi="Cambria"/>
          <w:sz w:val="22"/>
          <w:szCs w:val="22"/>
        </w:rPr>
        <w:t>)</w:t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5)   wynagrodzenie za czas usprawiedliwionej nieobecności w pracy regulują odrębne przepisy,</w:t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6) składniki zmienne wynagrodzenia , których wysokość za pełny miesiąc nie została ustalona przed sporządzeniem listy płac będą wyrównywane w wynagrodzeniu na następny miesiąc.</w:t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7) pracownikom urzędu przysługuje również:</w:t>
      </w:r>
    </w:p>
    <w:p>
      <w:pPr>
        <w:pStyle w:val="Standard"/>
        <w:spacing w:lineRule="auto" w:line="360"/>
        <w:rPr/>
      </w:pPr>
      <w:r>
        <w:rPr>
          <w:rFonts w:eastAsia="Cambria" w:cs="Cambria" w:ascii="Cambria" w:hAnsi="Cambria"/>
          <w:sz w:val="22"/>
          <w:szCs w:val="22"/>
        </w:rPr>
        <w:t xml:space="preserve">    </w:t>
      </w:r>
      <w:r>
        <w:rPr>
          <w:rFonts w:cs="Cambria" w:ascii="Cambria" w:hAnsi="Cambria"/>
          <w:sz w:val="22"/>
          <w:szCs w:val="22"/>
        </w:rPr>
        <w:t>A)   nagroda jubileuszowa,</w:t>
      </w:r>
    </w:p>
    <w:p>
      <w:pPr>
        <w:pStyle w:val="Standard"/>
        <w:spacing w:lineRule="auto" w:line="360"/>
        <w:rPr/>
      </w:pPr>
      <w:r>
        <w:rPr>
          <w:rFonts w:eastAsia="Cambria" w:cs="Cambria" w:ascii="Cambria" w:hAnsi="Cambria"/>
          <w:sz w:val="22"/>
          <w:szCs w:val="22"/>
        </w:rPr>
        <w:t xml:space="preserve">    </w:t>
      </w:r>
      <w:r>
        <w:rPr>
          <w:rFonts w:cs="Cambria" w:ascii="Cambria" w:hAnsi="Cambria"/>
          <w:sz w:val="22"/>
          <w:szCs w:val="22"/>
        </w:rPr>
        <w:t>B)   nagroda pieniężna,</w:t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 xml:space="preserve">8) pracownikowi może zostać przyznany :  </w:t>
      </w:r>
    </w:p>
    <w:p>
      <w:pPr>
        <w:pStyle w:val="Standard"/>
        <w:spacing w:lineRule="auto" w:line="360"/>
        <w:rPr/>
      </w:pPr>
      <w:r>
        <w:rPr>
          <w:rFonts w:eastAsia="Cambria" w:cs="Cambria" w:ascii="Cambria" w:hAnsi="Cambria"/>
          <w:sz w:val="22"/>
          <w:szCs w:val="22"/>
        </w:rPr>
        <w:t xml:space="preserve">   </w:t>
      </w:r>
      <w:r>
        <w:rPr>
          <w:rFonts w:cs="Cambria" w:ascii="Cambria" w:hAnsi="Cambria"/>
          <w:sz w:val="22"/>
          <w:szCs w:val="22"/>
        </w:rPr>
        <w:t>A) dodatek specjalny</w:t>
      </w:r>
    </w:p>
    <w:p>
      <w:pPr>
        <w:pStyle w:val="Standard"/>
        <w:spacing w:lineRule="auto" w:line="360"/>
        <w:rPr/>
      </w:pPr>
      <w:r>
        <w:rPr>
          <w:rFonts w:eastAsia="Cambria" w:cs="Cambria" w:ascii="Cambria" w:hAnsi="Cambria"/>
          <w:sz w:val="22"/>
          <w:szCs w:val="22"/>
        </w:rPr>
        <w:t xml:space="preserve">   </w:t>
      </w:r>
      <w:r>
        <w:rPr>
          <w:rFonts w:cs="Cambria" w:ascii="Cambria" w:hAnsi="Cambria"/>
          <w:sz w:val="22"/>
          <w:szCs w:val="22"/>
        </w:rPr>
        <w:t>B)  premia dla pracowników zatrudnionych na stanowiskach pomocniczych i obsługi.</w:t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9) pracownikom przysługuje dodatkowe wynagrodzenie roczne zgodnie z ustawą z dnia 12 grudnia 1997 r o dodatkowym wynagrodzeniu rocznym dla pracowników jednostek sfery budżetowej .</w:t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</w:r>
    </w:p>
    <w:p>
      <w:pPr>
        <w:pStyle w:val="Standard"/>
        <w:spacing w:lineRule="auto" w:line="360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  <w:t>§ 7.</w:t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Wysokość wynagrodzenia ustala:</w:t>
      </w:r>
    </w:p>
    <w:p>
      <w:pPr>
        <w:pStyle w:val="Standard"/>
        <w:spacing w:lineRule="auto" w:line="360"/>
        <w:rPr/>
      </w:pPr>
      <w:r>
        <w:rPr>
          <w:rFonts w:cs="Cambria" w:ascii="Cambria" w:hAnsi="Cambria"/>
          <w:sz w:val="22"/>
          <w:szCs w:val="22"/>
        </w:rPr>
        <w:t>1)   dla Wójta Gminy Gorzkowice</w:t>
      </w:r>
      <w:r>
        <w:rPr>
          <w:rFonts w:cs="Cambria" w:ascii="Cambria" w:hAnsi="Cambria"/>
          <w:b/>
          <w:bCs/>
          <w:sz w:val="22"/>
          <w:szCs w:val="22"/>
        </w:rPr>
        <w:t xml:space="preserve"> </w:t>
      </w:r>
      <w:r>
        <w:rPr>
          <w:rFonts w:cs="Cambria" w:ascii="Cambria" w:hAnsi="Cambria"/>
          <w:sz w:val="22"/>
          <w:szCs w:val="22"/>
        </w:rPr>
        <w:t>- Rada Gminy Gorzkowice .</w:t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2)   dla pracowników urzędu - Wójt Gminy Gorzkowice .</w:t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</w:r>
    </w:p>
    <w:p>
      <w:pPr>
        <w:pStyle w:val="Standard"/>
        <w:tabs>
          <w:tab w:val="clear" w:pos="708"/>
          <w:tab w:val="left" w:pos="6451" w:leader="dot"/>
        </w:tabs>
        <w:spacing w:lineRule="auto" w:line="360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  <w:t>§ 8.</w:t>
      </w:r>
    </w:p>
    <w:p>
      <w:pPr>
        <w:pStyle w:val="Standard"/>
        <w:tabs>
          <w:tab w:val="clear" w:pos="708"/>
          <w:tab w:val="left" w:pos="6451" w:leader="dot"/>
        </w:tabs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1. Wynagrodzenie wypłacane jest co miesiąc z dołu do 30 dnia każdego miesiąca na rachunek prowadzony w banku wskazanym przez pracownika.</w:t>
      </w:r>
    </w:p>
    <w:p>
      <w:pPr>
        <w:pStyle w:val="Standard"/>
        <w:tabs>
          <w:tab w:val="clear" w:pos="708"/>
          <w:tab w:val="left" w:pos="6451" w:leader="dot"/>
        </w:tabs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2. Wysokość wynagrodzenia za dany miesiąc , ustalana jest na podstawie dokumentów znajdujących się u pracownika naliczającego wynagrodzenie na dzień 23 - go danego miesiąca.</w:t>
      </w:r>
    </w:p>
    <w:p>
      <w:pPr>
        <w:pStyle w:val="Standard"/>
        <w:tabs>
          <w:tab w:val="clear" w:pos="708"/>
          <w:tab w:val="left" w:pos="6451" w:leader="dot"/>
        </w:tabs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3. Informacje mające wpływ na wysokość wynagrodzenia, które wpłyną do pracownika naliczającego wynagrodzenie po 23 dniu danego miesiąca mogą zostać uwzględnione w miesiącu  następnym.</w:t>
      </w:r>
    </w:p>
    <w:p>
      <w:pPr>
        <w:pStyle w:val="Standard"/>
        <w:tabs>
          <w:tab w:val="clear" w:pos="708"/>
          <w:tab w:val="left" w:pos="6451" w:leader="dot"/>
        </w:tabs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4. Kierownik  Urzędu w uzasadnionych przypadkach może podjąć decyzję o wcześniejszym terminie wypłaty wynagrodzenia.</w:t>
      </w:r>
    </w:p>
    <w:p>
      <w:pPr>
        <w:pStyle w:val="Standard"/>
        <w:spacing w:lineRule="auto" w:line="360"/>
        <w:ind w:firstLine="4694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spacing w:lineRule="auto" w:line="360"/>
        <w:ind w:firstLine="4694"/>
        <w:rPr/>
      </w:pPr>
      <w:r>
        <w:rPr>
          <w:rFonts w:cs="Cambria" w:ascii="Cambria" w:hAnsi="Cambria"/>
          <w:b/>
          <w:sz w:val="22"/>
          <w:szCs w:val="22"/>
        </w:rPr>
        <w:t>§ 9.</w:t>
        <w:br/>
      </w:r>
      <w:r>
        <w:rPr>
          <w:rFonts w:cs="Cambria" w:ascii="Cambria" w:hAnsi="Cambria"/>
          <w:sz w:val="22"/>
          <w:szCs w:val="22"/>
        </w:rPr>
        <w:t>Maksymalny  poziom   wynagrodzenia  zasadniczego   określa  załącznik  nr   1   do   niniejszego regulaminu.</w:t>
      </w:r>
    </w:p>
    <w:p>
      <w:pPr>
        <w:pStyle w:val="Standard"/>
        <w:spacing w:lineRule="auto" w:line="360"/>
        <w:ind w:firstLine="4694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</w:r>
    </w:p>
    <w:p>
      <w:pPr>
        <w:pStyle w:val="Standard"/>
        <w:spacing w:lineRule="auto" w:line="360"/>
        <w:jc w:val="center"/>
        <w:rPr>
          <w:rFonts w:ascii="Cambria" w:hAnsi="Cambria" w:cs="Cambria"/>
          <w:b/>
          <w:sz w:val="22"/>
          <w:szCs w:val="22"/>
          <w:shd w:fill="FFFFFF" w:val="clear"/>
        </w:rPr>
      </w:pPr>
      <w:r>
        <w:rPr>
          <w:rFonts w:cs="Cambria" w:ascii="Cambria" w:hAnsi="Cambria"/>
          <w:b/>
          <w:sz w:val="22"/>
          <w:szCs w:val="22"/>
          <w:shd w:fill="FFFFFF" w:val="clear"/>
        </w:rPr>
        <w:t>Dodatek funkcyjny</w:t>
      </w:r>
    </w:p>
    <w:p>
      <w:pPr>
        <w:pStyle w:val="Standard"/>
        <w:spacing w:lineRule="auto" w:line="360"/>
        <w:jc w:val="center"/>
        <w:rPr>
          <w:rFonts w:ascii="Cambria" w:hAnsi="Cambria" w:cs="Cambria"/>
          <w:b/>
          <w:bCs/>
          <w:sz w:val="22"/>
          <w:szCs w:val="22"/>
          <w:shd w:fill="FFFFFF" w:val="clear"/>
        </w:rPr>
      </w:pPr>
      <w:r>
        <w:rPr>
          <w:rFonts w:cs="Cambria" w:ascii="Cambria" w:hAnsi="Cambria"/>
          <w:b/>
          <w:bCs/>
          <w:sz w:val="22"/>
          <w:szCs w:val="22"/>
          <w:shd w:fill="FFFFFF" w:val="clear"/>
        </w:rPr>
        <w:t>§ 10.</w:t>
      </w:r>
    </w:p>
    <w:p>
      <w:pPr>
        <w:pStyle w:val="Standard"/>
        <w:widowControl w:val="false"/>
        <w:numPr>
          <w:ilvl w:val="0"/>
          <w:numId w:val="13"/>
        </w:numPr>
        <w:tabs>
          <w:tab w:val="clear" w:pos="708"/>
          <w:tab w:val="left" w:pos="1480" w:leader="none"/>
          <w:tab w:val="left" w:pos="1830" w:leader="none"/>
        </w:tabs>
        <w:spacing w:lineRule="auto" w:line="360"/>
        <w:ind w:left="370" w:right="5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Pracownikom zatrudnionym na stanowiskach związanych z kierowaniem zespołem przysługuje dodatek funkcyjny , z zastrzeżeniem ust.2</w:t>
      </w:r>
    </w:p>
    <w:p>
      <w:pPr>
        <w:pStyle w:val="Standard"/>
        <w:widowControl w:val="false"/>
        <w:numPr>
          <w:ilvl w:val="0"/>
          <w:numId w:val="14"/>
        </w:numPr>
        <w:tabs>
          <w:tab w:val="clear" w:pos="708"/>
          <w:tab w:val="left" w:pos="1480" w:leader="none"/>
          <w:tab w:val="left" w:pos="1830" w:leader="none"/>
        </w:tabs>
        <w:spacing w:lineRule="auto" w:line="360"/>
        <w:ind w:left="370" w:right="5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Dodatek funkcyjny przysługuje również pracownikom zatrudnionym na stanowiskach niezwiązanych z kierowaniem zespołem , dla których w tabeli stanowiącej zał. nr 3 do niniejszego Regulaminu, przewiduje się dodatek funkcyjny.</w:t>
      </w:r>
    </w:p>
    <w:p>
      <w:pPr>
        <w:pStyle w:val="Standard"/>
        <w:widowControl w:val="false"/>
        <w:numPr>
          <w:ilvl w:val="0"/>
          <w:numId w:val="15"/>
        </w:numPr>
        <w:tabs>
          <w:tab w:val="clear" w:pos="708"/>
          <w:tab w:val="left" w:pos="1480" w:leader="none"/>
          <w:tab w:val="left" w:pos="1830" w:leader="none"/>
        </w:tabs>
        <w:spacing w:lineRule="auto" w:line="360"/>
        <w:ind w:left="370" w:right="5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Tabela stawek dodatku funkcyjnego stanowi załącznik nr 4 do niniejszego Regulaminu.</w:t>
      </w:r>
    </w:p>
    <w:p>
      <w:pPr>
        <w:pStyle w:val="Standard"/>
        <w:widowControl w:val="false"/>
        <w:numPr>
          <w:ilvl w:val="0"/>
          <w:numId w:val="16"/>
        </w:numPr>
        <w:tabs>
          <w:tab w:val="clear" w:pos="708"/>
          <w:tab w:val="left" w:pos="1480" w:leader="none"/>
          <w:tab w:val="left" w:pos="1830" w:leader="none"/>
        </w:tabs>
        <w:spacing w:lineRule="auto" w:line="360"/>
        <w:ind w:left="370" w:right="5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Przepisy dotyczące dodatku funkcyjnego nie mają zastosowania do pracowników zatrudnionych na stanowiskach pomocniczych, obsługi.</w:t>
      </w:r>
    </w:p>
    <w:p>
      <w:pPr>
        <w:pStyle w:val="Standard"/>
        <w:widowControl w:val="false"/>
        <w:tabs>
          <w:tab w:val="clear" w:pos="708"/>
          <w:tab w:val="left" w:pos="1110" w:leader="none"/>
          <w:tab w:val="left" w:pos="1460" w:leader="none"/>
        </w:tabs>
        <w:spacing w:lineRule="auto" w:line="360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 xml:space="preserve">       </w:t>
      </w:r>
      <w:r>
        <w:rPr>
          <w:rFonts w:cs="Cambria" w:ascii="Cambria" w:hAnsi="Cambria"/>
          <w:sz w:val="22"/>
          <w:szCs w:val="22"/>
          <w:shd w:fill="FFFFFF" w:val="clear"/>
        </w:rPr>
        <w:t>5. Dodatek funkcyjny wypłacany jest razem z wynagrodzeniem zasadniczym.</w:t>
      </w:r>
    </w:p>
    <w:p>
      <w:pPr>
        <w:pStyle w:val="Standard"/>
        <w:widowControl w:val="false"/>
        <w:tabs>
          <w:tab w:val="clear" w:pos="708"/>
          <w:tab w:val="left" w:pos="1480" w:leader="none"/>
          <w:tab w:val="left" w:pos="1830" w:leader="none"/>
        </w:tabs>
        <w:spacing w:lineRule="auto" w:line="360"/>
        <w:ind w:left="370"/>
        <w:jc w:val="both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</w:r>
    </w:p>
    <w:p>
      <w:pPr>
        <w:pStyle w:val="Standard"/>
        <w:spacing w:lineRule="auto" w:line="360"/>
        <w:ind w:left="5"/>
        <w:jc w:val="center"/>
        <w:rPr>
          <w:rFonts w:ascii="Cambria" w:hAnsi="Cambria" w:cs="Cambria"/>
          <w:b/>
          <w:spacing w:val="12"/>
          <w:sz w:val="22"/>
          <w:szCs w:val="22"/>
          <w:shd w:fill="FFFFFF" w:val="clear"/>
        </w:rPr>
      </w:pPr>
      <w:r>
        <w:rPr>
          <w:rFonts w:cs="Cambria" w:ascii="Cambria" w:hAnsi="Cambria"/>
          <w:b/>
          <w:spacing w:val="12"/>
          <w:sz w:val="22"/>
          <w:szCs w:val="22"/>
          <w:shd w:fill="FFFFFF" w:val="clear"/>
        </w:rPr>
        <w:t>Dodatek specjalny</w:t>
      </w:r>
    </w:p>
    <w:p>
      <w:pPr>
        <w:pStyle w:val="Standard"/>
        <w:spacing w:lineRule="auto" w:line="360"/>
        <w:ind w:left="5"/>
        <w:jc w:val="center"/>
        <w:rPr>
          <w:rFonts w:ascii="Cambria" w:hAnsi="Cambria" w:cs="Cambria"/>
          <w:b/>
          <w:bCs/>
          <w:spacing w:val="12"/>
          <w:sz w:val="22"/>
          <w:szCs w:val="22"/>
          <w:shd w:fill="FFFFFF" w:val="clear"/>
        </w:rPr>
      </w:pPr>
      <w:r>
        <w:rPr>
          <w:rFonts w:cs="Cambria" w:ascii="Cambria" w:hAnsi="Cambria"/>
          <w:b/>
          <w:bCs/>
          <w:spacing w:val="12"/>
          <w:sz w:val="22"/>
          <w:szCs w:val="22"/>
          <w:shd w:fill="FFFFFF" w:val="clear"/>
        </w:rPr>
        <w:t>§ 11.</w:t>
      </w:r>
    </w:p>
    <w:p>
      <w:pPr>
        <w:pStyle w:val="Standard"/>
        <w:widowControl w:val="false"/>
        <w:numPr>
          <w:ilvl w:val="0"/>
          <w:numId w:val="17"/>
        </w:numPr>
        <w:tabs>
          <w:tab w:val="clear" w:pos="708"/>
          <w:tab w:val="left" w:pos="1440" w:leader="none"/>
          <w:tab w:val="left" w:pos="1781" w:leader="none"/>
        </w:tabs>
        <w:spacing w:lineRule="auto" w:line="360"/>
        <w:ind w:left="360" w:right="10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Dodatek specjalny może być przyznawany pracownikowi z tytułu okresowego zwiększenia obowiązków służbowych lub powierzenia dodatkowych zadań o wysokim stopniu złożoności lub odpowiedzialności.</w:t>
      </w:r>
    </w:p>
    <w:p>
      <w:pPr>
        <w:pStyle w:val="Standard"/>
        <w:widowControl w:val="false"/>
        <w:numPr>
          <w:ilvl w:val="0"/>
          <w:numId w:val="18"/>
        </w:numPr>
        <w:tabs>
          <w:tab w:val="clear" w:pos="708"/>
          <w:tab w:val="left" w:pos="1440" w:leader="none"/>
          <w:tab w:val="left" w:pos="1781" w:leader="none"/>
        </w:tabs>
        <w:spacing w:lineRule="auto" w:line="360"/>
        <w:ind w:left="360" w:right="14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Dodatek, o którym mowa w ust. 1 może być przyznawany na okres nie dłuższy niż rok.</w:t>
      </w:r>
    </w:p>
    <w:p>
      <w:pPr>
        <w:pStyle w:val="Standard"/>
        <w:widowControl w:val="false"/>
        <w:numPr>
          <w:ilvl w:val="0"/>
          <w:numId w:val="19"/>
        </w:numPr>
        <w:tabs>
          <w:tab w:val="clear" w:pos="708"/>
          <w:tab w:val="left" w:pos="1440" w:leader="none"/>
          <w:tab w:val="left" w:pos="1781" w:leader="none"/>
        </w:tabs>
        <w:spacing w:lineRule="auto" w:line="360"/>
        <w:ind w:left="360" w:right="5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Dodatek, o którym mowa w ust. 1  jest ustalany dla pracownika w zależności od posiadanych środków na wynagrodzenia i przyznawany w kwocie nie przekraczającej 40 % łącznie wynagrodzenia zasadniczego i dodatku funkcyjnego.</w:t>
      </w:r>
    </w:p>
    <w:p>
      <w:pPr>
        <w:pStyle w:val="Standard"/>
        <w:widowControl w:val="false"/>
        <w:numPr>
          <w:ilvl w:val="0"/>
          <w:numId w:val="20"/>
        </w:numPr>
        <w:tabs>
          <w:tab w:val="clear" w:pos="708"/>
          <w:tab w:val="left" w:pos="1440" w:leader="none"/>
          <w:tab w:val="left" w:pos="1781" w:leader="none"/>
        </w:tabs>
        <w:spacing w:lineRule="auto" w:line="360"/>
        <w:ind w:left="360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Dodatek specjalny wypłacany jest razem z wynagrodzeniem zasadniczym.</w:t>
      </w:r>
    </w:p>
    <w:p>
      <w:pPr>
        <w:pStyle w:val="Standard"/>
        <w:widowControl w:val="false"/>
        <w:tabs>
          <w:tab w:val="clear" w:pos="708"/>
          <w:tab w:val="left" w:pos="1440" w:leader="none"/>
          <w:tab w:val="left" w:pos="1781" w:leader="none"/>
        </w:tabs>
        <w:spacing w:lineRule="auto" w:line="360"/>
        <w:ind w:left="360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</w:r>
    </w:p>
    <w:p>
      <w:pPr>
        <w:pStyle w:val="Standard"/>
        <w:widowControl w:val="false"/>
        <w:tabs>
          <w:tab w:val="clear" w:pos="708"/>
          <w:tab w:val="left" w:pos="740" w:leader="none"/>
          <w:tab w:val="left" w:pos="1090" w:leader="none"/>
        </w:tabs>
        <w:spacing w:lineRule="auto" w:line="360"/>
        <w:jc w:val="both"/>
        <w:rPr>
          <w:rFonts w:ascii="Cambria" w:hAnsi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  <w:shd w:fill="FFFFFF" w:val="clear"/>
        </w:rPr>
        <w:t xml:space="preserve"> </w:t>
      </w:r>
      <w:r>
        <w:rPr>
          <w:rFonts w:eastAsia="Cambria" w:cs="Cambria" w:ascii="Cambria" w:hAnsi="Cambria"/>
          <w:sz w:val="22"/>
          <w:szCs w:val="22"/>
          <w:shd w:fill="FFFFFF" w:val="clear"/>
        </w:rPr>
        <w:tab/>
        <w:tab/>
        <w:tab/>
        <w:tab/>
        <w:tab/>
        <w:tab/>
        <w:t xml:space="preserve">      </w:t>
      </w:r>
      <w:r>
        <w:rPr>
          <w:rFonts w:cs="Cambria" w:ascii="Cambria" w:hAnsi="Cambria"/>
          <w:b/>
          <w:sz w:val="22"/>
          <w:szCs w:val="22"/>
        </w:rPr>
        <w:t>Nagroda pieniężna</w:t>
      </w:r>
    </w:p>
    <w:p>
      <w:pPr>
        <w:pStyle w:val="Standard"/>
        <w:spacing w:lineRule="auto" w:line="360"/>
        <w:ind w:right="34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  <w:t>§ 12.</w:t>
      </w:r>
    </w:p>
    <w:p>
      <w:pPr>
        <w:pStyle w:val="Standard"/>
        <w:widowControl w:val="false"/>
        <w:numPr>
          <w:ilvl w:val="0"/>
          <w:numId w:val="21"/>
        </w:numPr>
        <w:tabs>
          <w:tab w:val="clear" w:pos="708"/>
          <w:tab w:val="left" w:pos="1420" w:leader="none"/>
          <w:tab w:val="left" w:pos="1751" w:leader="none"/>
        </w:tabs>
        <w:spacing w:lineRule="auto" w:line="360"/>
        <w:ind w:left="355"/>
        <w:rPr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Za dodatkowe zadania ,  osiągnięcia w pracy zawodowej , jak również za wzorowo wykonywaną pracę może zostać przyznana nagroda uznaniowa.</w:t>
      </w:r>
    </w:p>
    <w:p>
      <w:pPr>
        <w:pStyle w:val="Standard"/>
        <w:widowControl w:val="false"/>
        <w:numPr>
          <w:ilvl w:val="0"/>
          <w:numId w:val="22"/>
        </w:numPr>
        <w:tabs>
          <w:tab w:val="clear" w:pos="708"/>
          <w:tab w:val="left" w:pos="1420" w:leader="none"/>
          <w:tab w:val="left" w:pos="1751" w:leader="none"/>
        </w:tabs>
        <w:spacing w:lineRule="auto" w:line="360"/>
        <w:ind w:left="355" w:right="10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 xml:space="preserve">Decyzje o przyznaniu nagrody podejmuje Wójt. Wniosek o przyznanie nagrody wraz </w:t>
        <w:br/>
        <w:t>z pisemnym uzasadnienie składa  bezpośredni przełożony pracownika lub przyznaje z własnej inicjatywy   wójt.</w:t>
      </w:r>
    </w:p>
    <w:p>
      <w:pPr>
        <w:pStyle w:val="Standard"/>
        <w:widowControl w:val="false"/>
        <w:numPr>
          <w:ilvl w:val="0"/>
          <w:numId w:val="23"/>
        </w:numPr>
        <w:tabs>
          <w:tab w:val="clear" w:pos="708"/>
          <w:tab w:val="left" w:pos="1440" w:leader="none"/>
          <w:tab w:val="left" w:pos="1771" w:leader="none"/>
        </w:tabs>
        <w:spacing w:lineRule="auto" w:line="360"/>
        <w:ind w:left="360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Nagroda uznaniowa  może być przyznana pracownikowi pozostającemu w zatrudnieniu przez okres co najmniej 6 miesięcy, za szczególne osiągnięcia w pracy zawodowej , a w szczególności za :</w:t>
      </w:r>
    </w:p>
    <w:p>
      <w:pPr>
        <w:pStyle w:val="Standard"/>
        <w:widowControl w:val="false"/>
        <w:tabs>
          <w:tab w:val="clear" w:pos="708"/>
          <w:tab w:val="left" w:pos="1440" w:leader="none"/>
          <w:tab w:val="left" w:pos="1771" w:leader="none"/>
        </w:tabs>
        <w:spacing w:lineRule="auto" w:line="360"/>
        <w:ind w:left="360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1) wzorowe i samodzielne wykonywanie obowiązków służbowych;</w:t>
      </w:r>
    </w:p>
    <w:p>
      <w:pPr>
        <w:pStyle w:val="Standard"/>
        <w:widowControl w:val="false"/>
        <w:tabs>
          <w:tab w:val="clear" w:pos="708"/>
          <w:tab w:val="left" w:pos="1440" w:leader="none"/>
          <w:tab w:val="left" w:pos="1771" w:leader="none"/>
        </w:tabs>
        <w:spacing w:lineRule="auto" w:line="360"/>
        <w:ind w:left="360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2) wyróżniający się stosunek do współpracowników i interesantów;</w:t>
      </w:r>
    </w:p>
    <w:p>
      <w:pPr>
        <w:pStyle w:val="Standard"/>
        <w:widowControl w:val="false"/>
        <w:tabs>
          <w:tab w:val="clear" w:pos="708"/>
          <w:tab w:val="left" w:pos="1440" w:leader="none"/>
          <w:tab w:val="left" w:pos="1771" w:leader="none"/>
        </w:tabs>
        <w:spacing w:lineRule="auto" w:line="360"/>
        <w:ind w:left="360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3) innowacyjność oraz osiąganie szczególnie wysokich wyników indywidualnych lub zespołowych w realizowaniu zadań;</w:t>
      </w:r>
    </w:p>
    <w:p>
      <w:pPr>
        <w:pStyle w:val="Standard"/>
        <w:widowControl w:val="false"/>
        <w:tabs>
          <w:tab w:val="clear" w:pos="708"/>
          <w:tab w:val="left" w:pos="1440" w:leader="none"/>
          <w:tab w:val="left" w:pos="1771" w:leader="none"/>
        </w:tabs>
        <w:spacing w:lineRule="auto" w:line="360"/>
        <w:ind w:left="360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4) szczególne zaangażowanie pracownika w wykonywanie ważnych i pilnych zadań;</w:t>
      </w:r>
    </w:p>
    <w:p>
      <w:pPr>
        <w:pStyle w:val="Standard"/>
        <w:widowControl w:val="false"/>
        <w:tabs>
          <w:tab w:val="clear" w:pos="708"/>
          <w:tab w:val="left" w:pos="1440" w:leader="none"/>
          <w:tab w:val="left" w:pos="1771" w:leader="none"/>
        </w:tabs>
        <w:spacing w:lineRule="auto" w:line="360"/>
        <w:ind w:left="360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5) wykonywanie zadań wykraczających poza zakres obowiązków lub powodujących szczególne obciążenie obowiązkami, pod warunkiem że pracownik nie otrzymał wynagrodzenia z tego tytułu;</w:t>
      </w:r>
    </w:p>
    <w:p>
      <w:pPr>
        <w:pStyle w:val="Standard"/>
        <w:widowControl w:val="false"/>
        <w:tabs>
          <w:tab w:val="clear" w:pos="708"/>
          <w:tab w:val="left" w:pos="1440" w:leader="none"/>
          <w:tab w:val="left" w:pos="1771" w:leader="none"/>
        </w:tabs>
        <w:spacing w:lineRule="auto" w:line="360"/>
        <w:ind w:left="360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6) podejmowanie działań i inicjatyw związanych z podnoszeniem jakości świadczonych usług w Urzędzie , promowania gminy oraz osiągania rezultatów, których skutkiem jest zwiększenie potencjału społecznego i gospodarczego, zwiększenie poziomu dochodów gminy Gorzkowice.</w:t>
      </w:r>
    </w:p>
    <w:p>
      <w:pPr>
        <w:pStyle w:val="Standard"/>
        <w:widowControl w:val="false"/>
        <w:tabs>
          <w:tab w:val="clear" w:pos="708"/>
          <w:tab w:val="left" w:pos="1440" w:leader="none"/>
          <w:tab w:val="left" w:pos="1771" w:leader="none"/>
        </w:tabs>
        <w:spacing w:lineRule="auto" w:line="360"/>
        <w:ind w:left="360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</w:r>
    </w:p>
    <w:p>
      <w:pPr>
        <w:pStyle w:val="Standard"/>
        <w:widowControl w:val="false"/>
        <w:tabs>
          <w:tab w:val="clear" w:pos="708"/>
          <w:tab w:val="left" w:pos="1420" w:leader="none"/>
          <w:tab w:val="left" w:pos="1751" w:leader="none"/>
        </w:tabs>
        <w:spacing w:lineRule="auto" w:line="360"/>
        <w:ind w:left="355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</w:r>
    </w:p>
    <w:p>
      <w:pPr>
        <w:pStyle w:val="Standard"/>
        <w:spacing w:lineRule="auto" w:line="360"/>
        <w:ind w:right="10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  <w:t>Wymagania kwalifikacyjne</w:t>
      </w:r>
    </w:p>
    <w:p>
      <w:pPr>
        <w:pStyle w:val="Standard"/>
        <w:spacing w:lineRule="auto" w:line="360"/>
        <w:ind w:right="442"/>
        <w:jc w:val="center"/>
        <w:rPr/>
      </w:pPr>
      <w:r>
        <w:rPr>
          <w:rFonts w:eastAsia="Cambria" w:cs="Cambria" w:ascii="Cambria" w:hAnsi="Cambria"/>
          <w:b/>
          <w:bCs/>
          <w:sz w:val="22"/>
          <w:szCs w:val="22"/>
        </w:rPr>
        <w:t xml:space="preserve">           </w:t>
      </w:r>
      <w:r>
        <w:rPr>
          <w:rFonts w:cs="Cambria" w:ascii="Cambria" w:hAnsi="Cambria"/>
          <w:b/>
          <w:bCs/>
          <w:sz w:val="22"/>
          <w:szCs w:val="22"/>
        </w:rPr>
        <w:t>§ 13.</w:t>
      </w:r>
    </w:p>
    <w:p>
      <w:pPr>
        <w:pStyle w:val="Standard"/>
        <w:spacing w:lineRule="auto" w:line="360"/>
        <w:ind w:right="442"/>
        <w:rPr>
          <w:rFonts w:ascii="Cambria" w:hAnsi="Cambria" w:cs="Cambria"/>
          <w:spacing w:val="-1"/>
          <w:sz w:val="22"/>
          <w:szCs w:val="22"/>
        </w:rPr>
      </w:pPr>
      <w:r>
        <w:rPr>
          <w:rFonts w:cs="Cambria" w:ascii="Cambria" w:hAnsi="Cambria"/>
          <w:spacing w:val="-1"/>
          <w:sz w:val="22"/>
          <w:szCs w:val="22"/>
        </w:rPr>
        <w:t>Wymagania kwalifikacyjne pracowników określa załącznik nr 2 do niniejszego regulaminu.</w:t>
      </w:r>
    </w:p>
    <w:p>
      <w:pPr>
        <w:pStyle w:val="NormalWeb"/>
        <w:spacing w:lineRule="auto" w:line="360" w:before="0" w:after="0"/>
        <w:rPr>
          <w:rFonts w:ascii="Cambria" w:hAnsi="Cambria" w:cs="Cambria"/>
          <w:spacing w:val="-1"/>
          <w:sz w:val="22"/>
          <w:szCs w:val="22"/>
        </w:rPr>
      </w:pPr>
      <w:r>
        <w:rPr>
          <w:rFonts w:cs="Cambria" w:ascii="Cambria" w:hAnsi="Cambria"/>
          <w:spacing w:val="-1"/>
          <w:sz w:val="22"/>
          <w:szCs w:val="22"/>
        </w:rPr>
      </w:r>
    </w:p>
    <w:p>
      <w:pPr>
        <w:pStyle w:val="NormalWeb"/>
        <w:spacing w:lineRule="auto" w:line="360" w:before="0" w:after="0"/>
        <w:jc w:val="center"/>
        <w:rPr>
          <w:rFonts w:ascii="Cambria" w:hAnsi="Cambria" w:cs="Cambria"/>
          <w:b/>
          <w:sz w:val="22"/>
          <w:szCs w:val="22"/>
          <w:shd w:fill="FFFFFF" w:val="clear"/>
        </w:rPr>
      </w:pPr>
      <w:r>
        <w:rPr>
          <w:rFonts w:cs="Cambria" w:ascii="Cambria" w:hAnsi="Cambria"/>
          <w:b/>
          <w:sz w:val="22"/>
          <w:szCs w:val="22"/>
          <w:shd w:fill="FFFFFF" w:val="clear"/>
        </w:rPr>
        <w:t>Premia</w:t>
      </w:r>
    </w:p>
    <w:p>
      <w:pPr>
        <w:pStyle w:val="NormalWeb"/>
        <w:spacing w:lineRule="auto" w:line="360" w:before="0" w:after="0"/>
        <w:jc w:val="center"/>
        <w:rPr>
          <w:rFonts w:ascii="Cambria" w:hAnsi="Cambria" w:cs="Cambria"/>
          <w:b/>
          <w:bCs/>
          <w:sz w:val="22"/>
          <w:szCs w:val="22"/>
          <w:shd w:fill="FFFFFF" w:val="clear"/>
        </w:rPr>
      </w:pPr>
      <w:r>
        <w:rPr>
          <w:rFonts w:cs="Cambria" w:ascii="Cambria" w:hAnsi="Cambria"/>
          <w:b/>
          <w:bCs/>
          <w:sz w:val="22"/>
          <w:szCs w:val="22"/>
          <w:shd w:fill="FFFFFF" w:val="clear"/>
        </w:rPr>
        <w:t>§ 14.</w:t>
      </w:r>
    </w:p>
    <w:p>
      <w:pPr>
        <w:pStyle w:val="Standard"/>
        <w:spacing w:lineRule="auto" w:line="360"/>
        <w:ind w:left="14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1. Pracownikom zatrudnionych na stanowiskach pomocniczych i obsługi może być przyznana premia   uznaniowa w wysokości do 20 % wynagrodzenia zasadniczego w ramach posiadanych środków na wynagrodzenia . Premia jest przyznawana za wykonywanie dodatkowych zadań, wyniki pracy, wysoką ocenę pracy.</w:t>
      </w:r>
    </w:p>
    <w:p>
      <w:pPr>
        <w:pStyle w:val="Standard"/>
        <w:spacing w:lineRule="auto" w:line="360"/>
        <w:ind w:left="14"/>
        <w:jc w:val="both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2. Decyzję o przyznaniu premii i jej wysokości podejmuje Wójt Gminy na wniosek Kierownika Referatu.</w:t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  <w:shd w:fill="FFFFFF" w:val="clear"/>
        </w:rPr>
      </w:pPr>
      <w:r>
        <w:rPr>
          <w:rFonts w:cs="Cambria" w:ascii="Cambria" w:hAnsi="Cambria"/>
          <w:sz w:val="22"/>
          <w:szCs w:val="22"/>
          <w:shd w:fill="FFFFFF" w:val="clear"/>
        </w:rPr>
        <w:t>3.  Premia wypłacana jest w terminie wypłaty wynagrodzenia.</w:t>
      </w:r>
    </w:p>
    <w:p>
      <w:pPr>
        <w:pStyle w:val="Standard"/>
        <w:spacing w:lineRule="auto" w:line="360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spacing w:lineRule="auto" w:line="360"/>
        <w:ind w:left="14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  <w:t>Postanowienia końcowe</w:t>
      </w:r>
    </w:p>
    <w:p>
      <w:pPr>
        <w:pStyle w:val="Standard"/>
        <w:spacing w:lineRule="auto" w:line="360"/>
        <w:ind w:left="14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cs="Cambria" w:ascii="Cambria" w:hAnsi="Cambria"/>
          <w:b/>
          <w:bCs/>
          <w:sz w:val="22"/>
          <w:szCs w:val="22"/>
        </w:rPr>
        <w:t>§ 15.</w:t>
      </w:r>
    </w:p>
    <w:p>
      <w:pPr>
        <w:pStyle w:val="Standard"/>
        <w:spacing w:lineRule="auto" w:line="360"/>
        <w:ind w:left="14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Zasady ustalania prawa i wysokości oraz wypłaty pozostałych składników wynagrodzenia regulują odrębne przepisy .</w:t>
      </w:r>
    </w:p>
    <w:p>
      <w:pPr>
        <w:pStyle w:val="Standard"/>
        <w:spacing w:lineRule="auto" w:line="360"/>
        <w:ind w:left="14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</w:r>
    </w:p>
    <w:p>
      <w:pPr>
        <w:pStyle w:val="Standard"/>
        <w:spacing w:lineRule="auto" w:line="360"/>
        <w:ind w:left="14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</w:r>
    </w:p>
    <w:p>
      <w:pPr>
        <w:pStyle w:val="Standard"/>
        <w:spacing w:lineRule="auto" w:line="360"/>
        <w:ind w:left="14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</w:r>
    </w:p>
    <w:p>
      <w:pPr>
        <w:pStyle w:val="Standard"/>
        <w:spacing w:lineRule="auto" w:line="360"/>
        <w:ind w:firstLine="708" w:left="2832"/>
        <w:rPr/>
      </w:pPr>
      <w:r>
        <w:rPr>
          <w:rFonts w:eastAsia="Cambria" w:cs="Cambria" w:ascii="Cambria" w:hAnsi="Cambria"/>
          <w:sz w:val="22"/>
          <w:szCs w:val="22"/>
        </w:rPr>
        <w:t xml:space="preserve">             </w:t>
      </w:r>
      <w:r>
        <w:rPr>
          <w:rFonts w:cs="Cambria" w:ascii="Cambria" w:hAnsi="Cambria"/>
          <w:b/>
          <w:bCs/>
          <w:sz w:val="22"/>
          <w:szCs w:val="22"/>
        </w:rPr>
        <w:t>§ 16.</w:t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W sprawach nieuregulowanych w niniejszym Regulaminie mają zastosowanie przepisy prawa pracy, ustaw, rozporządzeń i inne powszechnie obowiązujące przepisy prawa pracy.</w:t>
      </w:r>
    </w:p>
    <w:p>
      <w:pPr>
        <w:pStyle w:val="Standard"/>
        <w:spacing w:lineRule="auto" w:line="360"/>
        <w:ind w:firstLine="708" w:left="3540"/>
        <w:rPr/>
      </w:pPr>
      <w:r>
        <w:rPr>
          <w:rFonts w:eastAsia="Calibri" w:cs="Cambria" w:ascii="Cambria" w:hAnsi="Cambria"/>
          <w:b/>
          <w:bCs/>
          <w:sz w:val="22"/>
          <w:szCs w:val="22"/>
        </w:rPr>
        <w:t xml:space="preserve"> </w:t>
      </w:r>
      <w:r>
        <w:rPr>
          <w:rFonts w:cs="Cambria" w:ascii="Cambria" w:hAnsi="Cambria"/>
          <w:b/>
          <w:bCs/>
          <w:sz w:val="22"/>
          <w:szCs w:val="22"/>
        </w:rPr>
        <w:t>§ 17.</w:t>
      </w:r>
    </w:p>
    <w:p>
      <w:pPr>
        <w:pStyle w:val="Standard"/>
        <w:spacing w:lineRule="auto" w:line="36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Zmiana postanowień regulaminu wymaga formy pisemnej i takiego samego trybu, jaki obowiązuje przy jego wprowadzaniu.</w:t>
      </w:r>
    </w:p>
    <w:p>
      <w:pPr>
        <w:pStyle w:val="Standard"/>
        <w:spacing w:lineRule="auto" w:line="360"/>
        <w:ind w:firstLine="708" w:left="2832"/>
        <w:rPr/>
      </w:pPr>
      <w:r>
        <w:rPr>
          <w:rFonts w:cs="Cambria" w:ascii="Cambria" w:hAnsi="Cambria"/>
          <w:b/>
          <w:bCs/>
          <w:sz w:val="22"/>
          <w:szCs w:val="22"/>
        </w:rPr>
        <w:t xml:space="preserve">                  </w:t>
      </w:r>
      <w:r>
        <w:rPr>
          <w:rFonts w:cs="Cambria" w:ascii="Cambria" w:hAnsi="Cambria"/>
          <w:b/>
          <w:bCs/>
          <w:sz w:val="22"/>
          <w:szCs w:val="22"/>
        </w:rPr>
        <w:t>§ 18.</w:t>
      </w:r>
    </w:p>
    <w:p>
      <w:pPr>
        <w:pStyle w:val="Standard"/>
        <w:spacing w:lineRule="auto" w:line="360"/>
        <w:ind w:left="5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Regulamin wynagradzania wchodzi w życie po upływie dwóch tygodni od dnia podania go do wiadomości pracowników.</w:t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  <w:tab/>
        <w:tab/>
        <w:tab/>
        <w:tab/>
        <w:tab/>
        <w:tab/>
        <w:tab/>
        <w:tab/>
        <w:tab/>
        <w:tab/>
        <w:tab/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</w:r>
    </w:p>
    <w:p>
      <w:pPr>
        <w:pStyle w:val="Standard"/>
        <w:ind w:firstLine="708" w:left="3540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</w:r>
    </w:p>
    <w:p>
      <w:pPr>
        <w:pStyle w:val="Standard"/>
        <w:ind w:firstLine="708" w:left="6372"/>
        <w:jc w:val="right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>Załącznik nr 1</w:t>
      </w:r>
    </w:p>
    <w:p>
      <w:pPr>
        <w:pStyle w:val="Standard"/>
        <w:ind w:firstLine="708" w:left="3540"/>
        <w:jc w:val="right"/>
        <w:rPr/>
      </w:pPr>
      <w:r>
        <w:rPr>
          <w:rFonts w:cs="Cambria" w:ascii="Cambria" w:hAnsi="Cambria"/>
          <w:sz w:val="22"/>
          <w:szCs w:val="22"/>
        </w:rPr>
        <w:t xml:space="preserve"> </w:t>
      </w:r>
      <w:r>
        <w:rPr>
          <w:rFonts w:cs="Cambria" w:ascii="Cambria" w:hAnsi="Cambria"/>
          <w:sz w:val="22"/>
          <w:szCs w:val="22"/>
        </w:rPr>
        <w:t>do  Zarządzenia Nr 82/2024</w:t>
      </w:r>
    </w:p>
    <w:p>
      <w:pPr>
        <w:pStyle w:val="Standard"/>
        <w:jc w:val="right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ab/>
        <w:tab/>
        <w:tab/>
        <w:tab/>
        <w:tab/>
        <w:t xml:space="preserve">               Wójta Gminy Gorzkowice  </w:t>
      </w:r>
    </w:p>
    <w:p>
      <w:pPr>
        <w:pStyle w:val="Standard"/>
        <w:jc w:val="right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ab/>
        <w:tab/>
        <w:tab/>
        <w:tab/>
        <w:tab/>
        <w:tab/>
        <w:t xml:space="preserve">      z dnia 27 grudnia 2024 roku</w:t>
      </w:r>
    </w:p>
    <w:p>
      <w:pPr>
        <w:pStyle w:val="Standard"/>
        <w:ind w:left="5664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  <w:t xml:space="preserve">                                                  </w:t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  <w:t>Tabela 1  maksymalnych kwot wynagrodzenia zasadniczego</w:t>
      </w:r>
    </w:p>
    <w:p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tbl>
      <w:tblPr>
        <w:tblW w:w="9180" w:type="dxa"/>
        <w:jc w:val="left"/>
        <w:tblInd w:w="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24"/>
        <w:gridCol w:w="4755"/>
      </w:tblGrid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CCCCC" w:val="clear"/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sz w:val="22"/>
                <w:szCs w:val="22"/>
              </w:rPr>
              <w:t>Kategoria  zaszeregowania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sz w:val="22"/>
                <w:szCs w:val="22"/>
              </w:rPr>
              <w:t>Kwota  w  złotych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I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4000 – 4500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II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4050 – 4600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III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4100 – 4800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IV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4150 – 4900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V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  <w:shd w:fill="FFFFFF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FFFFFF" w:val="clear"/>
              </w:rPr>
              <w:t>4200 – 5100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VI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  <w:shd w:fill="FFFFFF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FFFFFF" w:val="clear"/>
              </w:rPr>
              <w:t>4250 – 5500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VII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  <w:shd w:fill="FFFFFF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FFFFFF" w:val="clear"/>
              </w:rPr>
              <w:t>4300 – 5900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VIII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  <w:shd w:fill="FFFFFF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FFFFFF" w:val="clear"/>
              </w:rPr>
              <w:t>4350 – 6100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IX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  <w:shd w:fill="FFFFFF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FFFFFF" w:val="clear"/>
              </w:rPr>
              <w:t>4400 – 6300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  <w:shd w:fill="FFFFFF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FFFFFF" w:val="clear"/>
              </w:rPr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  <w:shd w:fill="FFFFFF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FFFFFF" w:val="clear"/>
              </w:rPr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X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  <w:shd w:fill="FFFFFF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FFFFFF" w:val="clear"/>
              </w:rPr>
              <w:t>4500 – 6500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XI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  <w:shd w:fill="FFFFFF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FFFFFF" w:val="clear"/>
              </w:rPr>
              <w:t>4600 – 6800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XII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  <w:shd w:fill="FFFFFF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FFFFFF" w:val="clear"/>
              </w:rPr>
              <w:t>4700 – 7200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XIII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  <w:shd w:fill="FFFFFF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FFFFFF" w:val="clear"/>
              </w:rPr>
              <w:t>4800 – 7400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XIV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4900 – 7600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XV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5000 – 8000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XVI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5200  –  8400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XVII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5400  –  8600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XVIII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5600  –  9000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XIX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                                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5900  –  9400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XX</w:t>
            </w:r>
          </w:p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spacing w:lineRule="auto" w:line="2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  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6200 – 9600</w:t>
            </w:r>
          </w:p>
        </w:tc>
      </w:tr>
    </w:tbl>
    <w:p>
      <w:pPr>
        <w:pStyle w:val="Standard"/>
        <w:spacing w:before="280"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cs="Cambria" w:ascii="Cambria" w:hAnsi="Cambria"/>
          <w:b/>
          <w:sz w:val="22"/>
          <w:szCs w:val="22"/>
        </w:rPr>
      </w:r>
    </w:p>
    <w:p>
      <w:pPr>
        <w:pStyle w:val="Standard"/>
        <w:jc w:val="center"/>
        <w:rPr>
          <w:rFonts w:eastAsia="Liberation Serif" w:cs="Liberation Serif"/>
          <w:sz w:val="22"/>
          <w:szCs w:val="22"/>
        </w:rPr>
      </w:pPr>
      <w:r>
        <w:rPr>
          <w:rFonts w:eastAsia="Liberation Serif" w:cs="Liberation Serif"/>
          <w:sz w:val="22"/>
          <w:szCs w:val="22"/>
        </w:rPr>
        <w:tab/>
        <w:tab/>
        <w:tab/>
        <w:tab/>
        <w:tab/>
        <w:tab/>
      </w:r>
    </w:p>
    <w:p>
      <w:pPr>
        <w:pStyle w:val="Standard"/>
        <w:jc w:val="center"/>
        <w:rPr>
          <w:rFonts w:eastAsia="Liberation Serif" w:cs="Liberation Serif"/>
          <w:sz w:val="22"/>
          <w:szCs w:val="22"/>
        </w:rPr>
      </w:pPr>
      <w:r>
        <w:rPr>
          <w:rFonts w:eastAsia="Liberation Serif" w:cs="Liberation Serif"/>
          <w:sz w:val="22"/>
          <w:szCs w:val="22"/>
        </w:rPr>
      </w:r>
    </w:p>
    <w:p>
      <w:pPr>
        <w:pStyle w:val="Standard"/>
        <w:jc w:val="center"/>
        <w:rPr>
          <w:rFonts w:eastAsia="Liberation Serif" w:cs="Liberation Serif"/>
          <w:sz w:val="22"/>
          <w:szCs w:val="22"/>
        </w:rPr>
      </w:pPr>
      <w:r>
        <w:rPr>
          <w:rFonts w:eastAsia="Liberation Serif" w:cs="Liberation Serif"/>
          <w:sz w:val="22"/>
          <w:szCs w:val="22"/>
        </w:rPr>
      </w:r>
    </w:p>
    <w:p>
      <w:pPr>
        <w:pStyle w:val="Standard"/>
        <w:jc w:val="center"/>
        <w:rPr>
          <w:rFonts w:eastAsia="Liberation Serif" w:cs="Liberation Serif"/>
          <w:sz w:val="22"/>
          <w:szCs w:val="22"/>
        </w:rPr>
      </w:pPr>
      <w:r>
        <w:rPr>
          <w:rFonts w:eastAsia="Liberation Serif" w:cs="Liberation Serif"/>
          <w:sz w:val="22"/>
          <w:szCs w:val="22"/>
        </w:rPr>
        <w:tab/>
        <w:t xml:space="preserve">         </w:t>
      </w:r>
    </w:p>
    <w:p>
      <w:pPr>
        <w:pStyle w:val="Standard"/>
        <w:rPr>
          <w:rFonts w:ascii="Cambria" w:hAnsi="Cambria" w:eastAsia="Liberation Serif" w:cs="Liberation Serif"/>
          <w:sz w:val="22"/>
          <w:szCs w:val="22"/>
        </w:rPr>
      </w:pPr>
      <w:r>
        <w:rPr>
          <w:rFonts w:eastAsia="Liberation Serif" w:cs="Liberation Serif" w:ascii="Cambria" w:hAnsi="Cambria"/>
          <w:sz w:val="22"/>
          <w:szCs w:val="22"/>
        </w:rPr>
        <w:tab/>
        <w:tab/>
        <w:tab/>
        <w:tab/>
        <w:tab/>
        <w:tab/>
      </w:r>
    </w:p>
    <w:p>
      <w:pPr>
        <w:pStyle w:val="Standard"/>
        <w:jc w:val="right"/>
        <w:rPr/>
      </w:pPr>
      <w:r>
        <w:rPr>
          <w:rFonts w:eastAsia="Liberation Serif" w:cs="Liberation Serif" w:ascii="Cambria" w:hAnsi="Cambria"/>
          <w:sz w:val="22"/>
          <w:szCs w:val="22"/>
        </w:rPr>
        <w:t xml:space="preserve">   </w:t>
      </w:r>
      <w:r>
        <w:rPr>
          <w:rFonts w:cs="Cambria" w:ascii="Cambria" w:hAnsi="Cambria"/>
          <w:sz w:val="22"/>
          <w:szCs w:val="22"/>
        </w:rPr>
        <w:t>Załącznik nr 2 do</w:t>
      </w:r>
      <w:r>
        <w:rPr>
          <w:sz w:val="22"/>
          <w:szCs w:val="22"/>
        </w:rPr>
        <w:t xml:space="preserve">  </w:t>
      </w:r>
      <w:r>
        <w:rPr>
          <w:rFonts w:cs="Cambria" w:ascii="Cambria" w:hAnsi="Cambria"/>
          <w:sz w:val="22"/>
          <w:szCs w:val="22"/>
        </w:rPr>
        <w:t>Zarządzenia Nr 82/2024</w:t>
      </w:r>
    </w:p>
    <w:p>
      <w:pPr>
        <w:pStyle w:val="Standard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ab/>
        <w:tab/>
        <w:tab/>
        <w:tab/>
        <w:tab/>
        <w:tab/>
        <w:tab/>
        <w:tab/>
        <w:t xml:space="preserve">         Wójta Gminy Gorzkowice  </w:t>
      </w:r>
    </w:p>
    <w:p>
      <w:pPr>
        <w:pStyle w:val="Standard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ab/>
        <w:tab/>
        <w:tab/>
        <w:tab/>
        <w:tab/>
        <w:tab/>
        <w:t xml:space="preserve">                                          z dnia 27 grudnia   2024 roku</w:t>
      </w:r>
    </w:p>
    <w:p>
      <w:pPr>
        <w:pStyle w:val="Standard"/>
        <w:rPr/>
      </w:pPr>
      <w:r>
        <w:rPr>
          <w:rFonts w:eastAsia="Cambria" w:cs="Cambria" w:ascii="Cambria" w:hAnsi="Cambria"/>
          <w:sz w:val="22"/>
          <w:szCs w:val="22"/>
        </w:rPr>
        <w:t xml:space="preserve">                                                  </w:t>
      </w:r>
      <w:r>
        <w:rPr>
          <w:sz w:val="22"/>
          <w:szCs w:val="22"/>
        </w:rPr>
        <w:tab/>
        <w:tab/>
        <w:tab/>
        <w:tab/>
        <w:tab/>
        <w:tab/>
        <w:tab/>
        <w:tab/>
        <w:t xml:space="preserve">                        </w:t>
      </w:r>
    </w:p>
    <w:p>
      <w:pPr>
        <w:pStyle w:val="Standard"/>
        <w:rPr>
          <w:rFonts w:eastAsia="Liberation Serif" w:cs="Liberation Serif"/>
          <w:b/>
          <w:bCs/>
          <w:sz w:val="22"/>
          <w:szCs w:val="22"/>
        </w:rPr>
      </w:pPr>
      <w:r>
        <w:rPr>
          <w:rFonts w:eastAsia="Liberation Serif" w:cs="Liberation Serif"/>
          <w:b/>
          <w:bCs/>
          <w:sz w:val="22"/>
          <w:szCs w:val="22"/>
        </w:rPr>
        <w:t xml:space="preserve"> </w:t>
      </w:r>
    </w:p>
    <w:p>
      <w:pPr>
        <w:pStyle w:val="Standard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ab/>
        <w:tab/>
        <w:tab/>
        <w:tab/>
        <w:tab/>
        <w:t xml:space="preserve"> </w:t>
      </w:r>
    </w:p>
    <w:p>
      <w:pPr>
        <w:pStyle w:val="Normal"/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  <w:t xml:space="preserve">                                                                         </w:t>
      </w:r>
      <w:r>
        <w:rPr>
          <w:rFonts w:cs="Times New Roman" w:ascii="Cambria" w:hAnsi="Cambria"/>
          <w:b/>
          <w:bCs/>
          <w:sz w:val="22"/>
          <w:szCs w:val="22"/>
        </w:rPr>
        <w:t>TABELA  2  STANOWISK</w:t>
      </w:r>
    </w:p>
    <w:p>
      <w:pPr>
        <w:pStyle w:val="Normal"/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  <w:tab/>
        <w:tab/>
        <w:tab/>
        <w:t>wymagane kwalifikacje, kategorie  zaszeregowania</w:t>
      </w:r>
    </w:p>
    <w:p>
      <w:pPr>
        <w:pStyle w:val="Normal"/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  <w:tab/>
        <w:t>oraz ustalenie stawek dodatku funkcyjnego na określonych  stanowiskach</w:t>
      </w:r>
    </w:p>
    <w:p>
      <w:pPr>
        <w:pStyle w:val="Normal"/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2880" w:leader="none"/>
        </w:tabs>
        <w:ind w:hanging="360" w:left="720"/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</w:r>
    </w:p>
    <w:tbl>
      <w:tblPr>
        <w:tblW w:w="966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719"/>
        <w:gridCol w:w="2033"/>
        <w:gridCol w:w="2753"/>
        <w:gridCol w:w="2370"/>
        <w:gridCol w:w="1788"/>
      </w:tblGrid>
      <w:tr>
        <w:trPr/>
        <w:tc>
          <w:tcPr>
            <w:tcW w:w="966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  <w:tab w:val="left" w:pos="2880" w:leader="none"/>
              </w:tabs>
              <w:snapToGrid w:val="false"/>
              <w:ind w:hanging="360" w:left="720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1. Stanowiska kierownicze urzędnicze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71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L. p.</w:t>
            </w:r>
          </w:p>
        </w:tc>
        <w:tc>
          <w:tcPr>
            <w:tcW w:w="2033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Stanowisko</w:t>
            </w:r>
          </w:p>
        </w:tc>
        <w:tc>
          <w:tcPr>
            <w:tcW w:w="2753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Kategoria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zaszeregowania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415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Wymagane kwalifikacje</w:t>
            </w:r>
            <w:r>
              <w:rPr>
                <w:rStyle w:val="EndnoteReference"/>
                <w:rFonts w:cs="Times New Roman" w:ascii="Cambria" w:hAnsi="Cambria"/>
                <w:b/>
                <w:bCs/>
                <w:color w:val="000000"/>
                <w:sz w:val="22"/>
                <w:szCs w:val="22"/>
                <w:vertAlign w:val="superscript"/>
              </w:rPr>
              <w:endnoteReference w:customMarkFollows="1" w:id="2"/>
              <w:t>1)</w:t>
            </w: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  <w:vertAlign w:val="superscript"/>
              </w:rPr>
              <w:t>1)</w:t>
            </w:r>
          </w:p>
        </w:tc>
      </w:tr>
      <w:tr>
        <w:trPr/>
        <w:tc>
          <w:tcPr>
            <w:tcW w:w="71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</w:rPr>
            </w:r>
          </w:p>
        </w:tc>
        <w:tc>
          <w:tcPr>
            <w:tcW w:w="2033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</w:rPr>
            </w:r>
          </w:p>
        </w:tc>
        <w:tc>
          <w:tcPr>
            <w:tcW w:w="2753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</w:rPr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Wymagane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Wykształcenie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7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Staż pracy</w:t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1.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20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Sekretarz Gminy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27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XVII - XX</w:t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wyższe</w:t>
            </w:r>
            <w:r>
              <w:rPr>
                <w:rStyle w:val="EndnoteReference"/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endnoteReference w:customMarkFollows="1" w:id="3"/>
              <w:t>2)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2)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            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7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0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Pełnomocnik ds. ochrony informacji niejawnych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27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XIV - IX</w:t>
            </w:r>
          </w:p>
        </w:tc>
        <w:tc>
          <w:tcPr>
            <w:tcW w:w="415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według odrębnych przepisów</w:t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0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Z - ca pełnomocnika ds. ochrony informacji niejawnych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27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XIII - VIII</w:t>
            </w:r>
          </w:p>
        </w:tc>
        <w:tc>
          <w:tcPr>
            <w:tcW w:w="415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według odrębnych przepisów</w:t>
            </w:r>
          </w:p>
        </w:tc>
      </w:tr>
      <w:tr>
        <w:trPr/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4.</w:t>
            </w:r>
          </w:p>
        </w:tc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Z - ca głównego księgowego budżetu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2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XIV - XVIII</w:t>
            </w:r>
          </w:p>
        </w:tc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wyższe</w:t>
            </w:r>
            <w:r>
              <w:rPr>
                <w:rStyle w:val="EndnoteReference"/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endnoteReference w:customMarkFollows="1" w:id="4"/>
              <w:t>2)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2)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lub podyplomowe ekonomiczne</w:t>
            </w:r>
          </w:p>
        </w:tc>
        <w:tc>
          <w:tcPr>
            <w:tcW w:w="1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3</w:t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5.</w:t>
            </w:r>
          </w:p>
        </w:tc>
        <w:tc>
          <w:tcPr>
            <w:tcW w:w="20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Kierownik Urzędu Stanu Cywilnego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27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XVI - XX</w:t>
            </w:r>
          </w:p>
        </w:tc>
        <w:tc>
          <w:tcPr>
            <w:tcW w:w="415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według odrębnych  przepisów</w:t>
            </w:r>
          </w:p>
        </w:tc>
      </w:tr>
      <w:tr>
        <w:trPr>
          <w:trHeight w:val="75" w:hRule="atLeast"/>
        </w:trPr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6.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Zastępca  kierownika Urzędu Stanu Cywilnego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5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XIV – XVI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415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według odrębnych  przepisów</w:t>
            </w:r>
          </w:p>
        </w:tc>
      </w:tr>
      <w:tr>
        <w:trPr/>
        <w:tc>
          <w:tcPr>
            <w:tcW w:w="71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7.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Kierownik referatu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XIII – XVIII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237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wyższe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2)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4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1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8.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Z – ca Kierownika referatu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275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XIII - XVI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237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wyższe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9.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20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Administrator bezpieczeństwa informacji (inspektor ochrony danych)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27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XIV -  XVI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415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według odrębnych  przepisów</w:t>
            </w:r>
          </w:p>
        </w:tc>
      </w:tr>
    </w:tbl>
    <w:p>
      <w:pPr>
        <w:pStyle w:val="Normal"/>
        <w:tabs>
          <w:tab w:val="clear" w:pos="708"/>
          <w:tab w:val="left" w:pos="1440" w:leader="none"/>
        </w:tabs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1440" w:leader="none"/>
        </w:tabs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1440" w:leader="none"/>
        </w:tabs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</w:r>
    </w:p>
    <w:tbl>
      <w:tblPr>
        <w:tblW w:w="966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719"/>
        <w:gridCol w:w="1996"/>
        <w:gridCol w:w="1500"/>
        <w:gridCol w:w="1290"/>
        <w:gridCol w:w="2370"/>
        <w:gridCol w:w="1787"/>
      </w:tblGrid>
      <w:tr>
        <w:trPr/>
        <w:tc>
          <w:tcPr>
            <w:tcW w:w="966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Normal"/>
              <w:tabs>
                <w:tab w:val="clear" w:pos="708"/>
                <w:tab w:val="left" w:pos="1440" w:leader="none"/>
              </w:tabs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2.  Stanowiska urzędnicze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L. p.</w:t>
            </w:r>
          </w:p>
        </w:tc>
        <w:tc>
          <w:tcPr>
            <w:tcW w:w="1996" w:type="dxa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Stanowisko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Kategoria zaszeregowania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Stawka dodatku funkcyjnego</w:t>
            </w:r>
          </w:p>
        </w:tc>
        <w:tc>
          <w:tcPr>
            <w:tcW w:w="415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Wymagane kwalifikacje</w:t>
            </w: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  <w:vertAlign w:val="superscript"/>
              </w:rPr>
              <w:t>1)</w:t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</w:rPr>
            </w:r>
          </w:p>
        </w:tc>
        <w:tc>
          <w:tcPr>
            <w:tcW w:w="1996" w:type="dxa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Wymagane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Wykształcenie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Staż pracy</w:t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9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r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adca prawny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XIII - XVIII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5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według odrębnych przepisów</w:t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2.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9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referent  prawny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</w:rPr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VIII - XII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415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wyższe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 xml:space="preserve"> 2)                   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9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referent prawno –      administracyjny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VIII - XII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415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wyższe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 xml:space="preserve"> 2)                   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4.</w:t>
            </w:r>
          </w:p>
        </w:tc>
        <w:tc>
          <w:tcPr>
            <w:tcW w:w="19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główny specjalista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XIII – XVII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</w:rPr>
              <w:t>wyższe</w:t>
            </w:r>
            <w:r>
              <w:rPr>
                <w:rFonts w:cs="Times New Roman" w:ascii="Cambria" w:hAnsi="Cambria"/>
                <w:sz w:val="20"/>
                <w:vertAlign w:val="superscript"/>
              </w:rPr>
              <w:t>2)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5.</w:t>
            </w:r>
          </w:p>
        </w:tc>
        <w:tc>
          <w:tcPr>
            <w:tcW w:w="1996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s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pecjalista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 – XIII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  <w:p>
            <w:pPr>
              <w:pStyle w:val="Normal"/>
              <w:suppressLineNumbers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</w:t>
            </w:r>
          </w:p>
          <w:p>
            <w:pPr>
              <w:pStyle w:val="Normal"/>
              <w:suppressLineNumbers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</w:t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wyższe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2)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Style w:val="EndnoteReference"/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endnoteReference w:customMarkFollows="1" w:id="5"/>
              <w:t>3)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-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3</w:t>
            </w:r>
          </w:p>
        </w:tc>
      </w:tr>
      <w:tr>
        <w:trPr/>
        <w:tc>
          <w:tcPr>
            <w:tcW w:w="71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6.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99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specjalista ds. BHP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inspektor ds. BHP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starszy inspektor ds.    BHP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XI - XV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IX – XV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 - XV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</w:rPr>
              <w:t xml:space="preserve">         </w:t>
            </w:r>
            <w:r>
              <w:rPr>
                <w:rFonts w:cs="Times New Roman" w:ascii="Cambria" w:hAnsi="Cambria"/>
              </w:rPr>
              <w:t>-</w:t>
            </w:r>
          </w:p>
        </w:tc>
        <w:tc>
          <w:tcPr>
            <w:tcW w:w="4157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według odrębnych przepisów</w:t>
            </w:r>
          </w:p>
        </w:tc>
      </w:tr>
      <w:tr>
        <w:trPr/>
        <w:tc>
          <w:tcPr>
            <w:tcW w:w="71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7.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99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starszy specjalista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XI - XV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</w:rPr>
              <w:t xml:space="preserve">         </w:t>
            </w:r>
            <w:r>
              <w:rPr>
                <w:rFonts w:cs="Times New Roman" w:ascii="Cambria" w:hAnsi="Cambria"/>
              </w:rPr>
              <w:t>-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wyższe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2)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</w:r>
          </w:p>
          <w:p>
            <w:pPr>
              <w:pStyle w:val="Normal"/>
              <w:jc w:val="center"/>
              <w:rPr>
                <w:rFonts w:ascii="Cambria" w:hAnsi="Cambria" w:cs="Times New Roman"/>
                <w:sz w:val="20"/>
              </w:rPr>
            </w:pPr>
            <w:r>
              <w:rPr>
                <w:rFonts w:cs="Times New Roman" w:ascii="Cambria" w:hAnsi="Cambria"/>
                <w:sz w:val="20"/>
              </w:rPr>
              <w:t>średnie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</w:r>
          </w:p>
        </w:tc>
        <w:tc>
          <w:tcPr>
            <w:tcW w:w="178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3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5</w:t>
            </w:r>
          </w:p>
        </w:tc>
      </w:tr>
      <w:tr>
        <w:trPr/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8.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starszy i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nspektor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XIII - XVII</w:t>
            </w: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wyższe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4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9.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9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inspektor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XI - XVI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wyższe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2)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  <w:t>3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  <w:t>5</w:t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996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p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odinspektor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/informatyk/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 - XIV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wyższe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2)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 xml:space="preserve">3)  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  <w:p>
            <w:pPr>
              <w:pStyle w:val="Normal"/>
              <w:suppressLineNumbers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3</w:t>
            </w:r>
          </w:p>
          <w:p>
            <w:pPr>
              <w:pStyle w:val="Normal"/>
              <w:suppressLineNumbers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</w:rPr>
            </w:r>
          </w:p>
        </w:tc>
      </w:tr>
      <w:tr>
        <w:trPr/>
        <w:tc>
          <w:tcPr>
            <w:tcW w:w="71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s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amodzielny referent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 - XII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wyższe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2)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1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19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r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eferent,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kasjer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VIII - XI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2"/>
                <w:szCs w:val="22"/>
              </w:rPr>
            </w:pPr>
            <w:r>
              <w:rPr>
                <w:rFonts w:cs="Times New Roman" w:ascii="Cambria" w:hAnsi="Cambria"/>
                <w:sz w:val="22"/>
                <w:szCs w:val="22"/>
              </w:rPr>
              <w:t xml:space="preserve">              </w:t>
            </w:r>
            <w:r>
              <w:rPr>
                <w:rFonts w:cs="Times New Roman" w:ascii="Cambria" w:hAnsi="Cambria"/>
                <w:sz w:val="22"/>
                <w:szCs w:val="22"/>
              </w:rPr>
              <w:t>1</w:t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13.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9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m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łodszy referent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młodszy księgowy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starszy referent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VII – X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IX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</w:rPr>
              <w:t xml:space="preserve">        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wyższe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2)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  <w:vertAlign w:val="superscript"/>
              </w:rPr>
              <w:t xml:space="preserve">                     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2</w:t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14.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9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administrator (baz   danych, systemów komputerowych, zintegrowanych systemów zarządzania)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X- IV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32"/>
                <w:szCs w:val="32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wyższe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  <w:vertAlign w:val="superscript"/>
              </w:rPr>
              <w:t>2)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32"/>
                <w:vertAlign w:val="superscript"/>
              </w:rPr>
              <w:t>3)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-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3</w:t>
            </w:r>
          </w:p>
        </w:tc>
      </w:tr>
      <w:tr>
        <w:trPr/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15.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9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archiwista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VII – XII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Cambria" w:hAnsi="Cambria"/>
                <w:color w:val="000000"/>
                <w:sz w:val="20"/>
                <w:szCs w:val="20"/>
              </w:rPr>
              <w:t xml:space="preserve">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imes New Roman" w:cs="Times New Roman" w:ascii="Cambria" w:hAnsi="Cambria"/>
                <w:color w:val="000000"/>
                <w:sz w:val="20"/>
                <w:szCs w:val="20"/>
              </w:rPr>
              <w:t xml:space="preserve">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imes New Roman" w:cs="Times New Roman" w:ascii="Cambria" w:hAnsi="Cambria"/>
                <w:color w:val="000000"/>
                <w:sz w:val="20"/>
                <w:szCs w:val="20"/>
              </w:rPr>
              <w:t xml:space="preserve">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-  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</w:p>
        </w:tc>
      </w:tr>
    </w:tbl>
    <w:p>
      <w:pPr>
        <w:pStyle w:val="Normal"/>
        <w:tabs>
          <w:tab w:val="clear" w:pos="708"/>
          <w:tab w:val="left" w:pos="1440" w:leader="none"/>
        </w:tabs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</w:r>
    </w:p>
    <w:p>
      <w:pPr>
        <w:pStyle w:val="Normal"/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</w:r>
    </w:p>
    <w:p>
      <w:pPr>
        <w:pStyle w:val="Normal"/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</w:r>
    </w:p>
    <w:p>
      <w:pPr>
        <w:pStyle w:val="Normal"/>
        <w:ind w:left="720"/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</w:r>
    </w:p>
    <w:p>
      <w:pPr>
        <w:pStyle w:val="Normal"/>
        <w:ind w:left="720"/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</w:r>
    </w:p>
    <w:p>
      <w:pPr>
        <w:pStyle w:val="Normal"/>
        <w:textAlignment w:val="baseline"/>
        <w:rPr>
          <w:rFonts w:ascii="Cambria" w:hAnsi="Cambria" w:cs="Times New Roman"/>
          <w:vanish/>
        </w:rPr>
      </w:pPr>
      <w:r>
        <w:rPr>
          <w:rFonts w:cs="Times New Roman" w:ascii="Cambria" w:hAnsi="Cambria"/>
          <w:vanish/>
        </w:rPr>
      </w:r>
      <w:r>
        <w:br w:type="page"/>
      </w:r>
    </w:p>
    <w:tbl>
      <w:tblPr>
        <w:tblW w:w="9683" w:type="dxa"/>
        <w:jc w:val="left"/>
        <w:tblInd w:w="-4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750"/>
        <w:gridCol w:w="2459"/>
        <w:gridCol w:w="1576"/>
        <w:gridCol w:w="2804"/>
        <w:gridCol w:w="2094"/>
      </w:tblGrid>
      <w:tr>
        <w:trPr/>
        <w:tc>
          <w:tcPr>
            <w:tcW w:w="968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Normal"/>
              <w:pageBreakBefore/>
              <w:suppressLineNumbers/>
              <w:snapToGrid w:val="false"/>
              <w:spacing w:before="0" w:after="0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eastAsia="Thorndale, 'Times New Roman'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horndale, 'Times New Roman'" w:cs="Times New Roman" w:ascii="Cambria" w:hAnsi="Cambria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b/>
                <w:bCs/>
                <w:color w:val="000000"/>
                <w:sz w:val="22"/>
                <w:szCs w:val="22"/>
              </w:rPr>
              <w:t>3 . Stanowiska  pomocnicze i obsługi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</w:rPr>
            </w:pPr>
            <w:r>
              <w:rPr>
                <w:rFonts w:eastAsia="Thorndale, 'Times New Roman'" w:cs="Times New Roman" w:ascii="Cambria" w:hAnsi="Cambria"/>
                <w:b/>
                <w:bCs/>
                <w:color w:val="000000"/>
                <w:sz w:val="22"/>
                <w:szCs w:val="22"/>
              </w:rPr>
              <w:t xml:space="preserve">  </w:t>
            </w: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L. p.</w:t>
            </w:r>
          </w:p>
        </w:tc>
        <w:tc>
          <w:tcPr>
            <w:tcW w:w="2459" w:type="dxa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eastAsia="Thorndale, 'Times New Roman'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horndale, 'Times New Roman'" w:cs="Times New Roman" w:ascii="Cambria" w:hAnsi="Cambria"/>
                <w:b/>
                <w:bCs/>
                <w:color w:val="000000"/>
                <w:sz w:val="22"/>
                <w:szCs w:val="22"/>
              </w:rPr>
              <w:t>Stanowisko</w:t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Kategoria zaszeregowania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2804" w:type="dxa"/>
            <w:tcBorders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Wykształcenie</w:t>
            </w:r>
          </w:p>
        </w:tc>
        <w:tc>
          <w:tcPr>
            <w:tcW w:w="20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b/>
                <w:bCs/>
                <w:color w:val="000000"/>
                <w:sz w:val="22"/>
                <w:szCs w:val="22"/>
              </w:rPr>
              <w:t>Staż pracy</w:t>
            </w:r>
          </w:p>
        </w:tc>
      </w:tr>
      <w:tr>
        <w:trPr/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p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racownik II stopnia    wykonujący zadania w ramach robót publicznych lub prac interwencyjnych</w:t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XII – XVI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XI – XIV</w:t>
            </w:r>
          </w:p>
        </w:tc>
        <w:tc>
          <w:tcPr>
            <w:tcW w:w="28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wyższe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2)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wyższe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2)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eastAsia="Calibri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eastAsia="Calibri"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eastAsia="Calibri"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20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4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3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5</w:t>
            </w:r>
          </w:p>
        </w:tc>
      </w:tr>
      <w:tr>
        <w:trPr/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p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racownik I stopnia wykonujący zadania w ramach robót publicznych lub prac interwencyjnych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IX – XIII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VIII  – XI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28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wyższe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2)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średnie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Calibri"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eastAsia="Calibri"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20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3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2</w:t>
            </w:r>
          </w:p>
        </w:tc>
      </w:tr>
      <w:tr>
        <w:trPr/>
        <w:tc>
          <w:tcPr>
            <w:tcW w:w="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p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omoc administracyjna   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IV - VI</w:t>
            </w:r>
          </w:p>
        </w:tc>
        <w:tc>
          <w:tcPr>
            <w:tcW w:w="2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zasadnicze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  <w:p>
            <w:pPr>
              <w:pStyle w:val="Normal"/>
              <w:suppressLineNumbers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s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ekretarka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shd w:fill="FFFFFF" w:val="clear"/>
              </w:rPr>
              <w:t>VII -  XII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28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20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2"/>
                <w:szCs w:val="22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2"/>
                <w:szCs w:val="22"/>
              </w:rPr>
              <w:t xml:space="preserve"> </w:t>
            </w: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z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aopatrzeniowiec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VIII - IX                </w:t>
            </w:r>
          </w:p>
        </w:tc>
        <w:tc>
          <w:tcPr>
            <w:tcW w:w="28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zasadnicze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5)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 xml:space="preserve">                  </w:t>
            </w:r>
          </w:p>
        </w:tc>
        <w:tc>
          <w:tcPr>
            <w:tcW w:w="20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2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3</w:t>
            </w:r>
          </w:p>
        </w:tc>
      </w:tr>
      <w:tr>
        <w:trPr/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k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ierowca  samochodu  osobowego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VI - X</w:t>
            </w:r>
          </w:p>
        </w:tc>
        <w:tc>
          <w:tcPr>
            <w:tcW w:w="48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według odrębnych przepisów</w:t>
            </w:r>
          </w:p>
        </w:tc>
      </w:tr>
      <w:tr>
        <w:trPr/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k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ierowca autobusu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rzemieślnik specjalista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VIII – XII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IX - XI</w:t>
            </w:r>
          </w:p>
        </w:tc>
        <w:tc>
          <w:tcPr>
            <w:tcW w:w="48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według odrębnych przepisów</w:t>
            </w:r>
          </w:p>
          <w:p>
            <w:pPr>
              <w:pStyle w:val="Normal"/>
              <w:suppressLineNumbers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           </w:t>
            </w:r>
          </w:p>
          <w:p>
            <w:pPr>
              <w:pStyle w:val="Normal"/>
              <w:suppressLineNumbers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zasadnicze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 xml:space="preserve">5)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                                 3</w:t>
            </w:r>
          </w:p>
          <w:p>
            <w:pPr>
              <w:pStyle w:val="Normal"/>
              <w:suppressLineNumbers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 xml:space="preserve">3)                                                                 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k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ierowca samochodu ciężarowego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( w tym   do  3,5 ton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oraz  od 3,5 ton  do 13 ton)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VIII – XII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48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według odrębnych przepisów</w:t>
            </w:r>
          </w:p>
        </w:tc>
      </w:tr>
      <w:tr>
        <w:trPr/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9.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</w:tc>
        <w:tc>
          <w:tcPr>
            <w:tcW w:w="24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kierowca – operator  maszyn specjalnych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VIII - XIII</w:t>
            </w:r>
          </w:p>
        </w:tc>
        <w:tc>
          <w:tcPr>
            <w:tcW w:w="48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według odrębnych przepisów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5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kierowca ciągnika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VI - XIII</w:t>
            </w:r>
          </w:p>
        </w:tc>
        <w:tc>
          <w:tcPr>
            <w:tcW w:w="489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według odrębnych przepisów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11.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kierowca samochodu ciężarowego pow. 3,5 tony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VII – XI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4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według odrębnych przepisów</w:t>
            </w:r>
          </w:p>
        </w:tc>
      </w:tr>
      <w:tr>
        <w:trPr/>
        <w:tc>
          <w:tcPr>
            <w:tcW w:w="75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12.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</w:tc>
        <w:tc>
          <w:tcPr>
            <w:tcW w:w="24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kierowca samochodu towarowo - osobowego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VII - XIII</w:t>
            </w:r>
          </w:p>
        </w:tc>
        <w:tc>
          <w:tcPr>
            <w:tcW w:w="4898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według odrębnych przepisów</w:t>
            </w:r>
          </w:p>
        </w:tc>
      </w:tr>
      <w:tr>
        <w:trPr/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13.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</w:tc>
        <w:tc>
          <w:tcPr>
            <w:tcW w:w="24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mechanik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mechanik samochodowy</w:t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VIII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VII </w:t>
            </w:r>
          </w:p>
        </w:tc>
        <w:tc>
          <w:tcPr>
            <w:tcW w:w="48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  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                   2</w:t>
            </w:r>
          </w:p>
          <w:p>
            <w:pPr>
              <w:pStyle w:val="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                           </w:t>
            </w:r>
            <w:r>
              <w:rPr>
                <w:rFonts w:cs="Times New Roman" w:ascii="Cambria" w:hAnsi="Cambria"/>
                <w:sz w:val="20"/>
              </w:rPr>
              <w:t>zasadnicze</w:t>
            </w:r>
            <w:r>
              <w:rPr>
                <w:rFonts w:cs="Times New Roman" w:ascii="Cambria" w:hAnsi="Cambria"/>
                <w:vertAlign w:val="superscript"/>
              </w:rPr>
              <w:t>5)</w:t>
            </w:r>
            <w:r>
              <w:rPr>
                <w:rFonts w:ascii="Cambria" w:hAnsi="Cambria"/>
              </w:rPr>
              <w:t xml:space="preserve">                          </w:t>
            </w:r>
            <w:r>
              <w:rPr>
                <w:rFonts w:cs="Times New Roman" w:ascii="Cambria" w:hAnsi="Cambria"/>
                <w:sz w:val="20"/>
              </w:rPr>
              <w:t>3</w:t>
            </w:r>
          </w:p>
          <w:p>
            <w:pPr>
              <w:pStyle w:val="Normal"/>
              <w:rPr>
                <w:rFonts w:ascii="Cambria" w:hAnsi="Cambria"/>
              </w:rPr>
            </w:pPr>
            <w:r>
              <w:rPr>
                <w:rFonts w:ascii="Cambria" w:hAnsi="Cambria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 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            -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zasadnicze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5)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                2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</w:tr>
      <w:tr>
        <w:trPr>
          <w:trHeight w:val="2479" w:hRule="atLeast"/>
        </w:trPr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14.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</w:tc>
        <w:tc>
          <w:tcPr>
            <w:tcW w:w="24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inkasent – odczytywacz wodomierzy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b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IV  – X</w:t>
            </w:r>
          </w:p>
        </w:tc>
        <w:tc>
          <w:tcPr>
            <w:tcW w:w="48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podstawowe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4)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, zawodowe</w:t>
            </w:r>
          </w:p>
        </w:tc>
      </w:tr>
      <w:tr>
        <w:trPr/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24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k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onserwator,</w:t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  <w:p>
            <w:pPr>
              <w:pStyle w:val="Normal"/>
              <w:suppressLineNumbers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  <w:t xml:space="preserve">starszy konserwator </w:t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  – X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VIII - XI</w:t>
            </w:r>
          </w:p>
        </w:tc>
        <w:tc>
          <w:tcPr>
            <w:tcW w:w="28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 xml:space="preserve">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 xml:space="preserve">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zasadnicze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5)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 xml:space="preserve">     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 xml:space="preserve"> 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średnie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zasadnicze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 xml:space="preserve">5)                       </w:t>
            </w:r>
          </w:p>
        </w:tc>
        <w:tc>
          <w:tcPr>
            <w:tcW w:w="20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-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  <w:t xml:space="preserve">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  <w:t xml:space="preserve">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  <w:t xml:space="preserve">             </w:t>
            </w:r>
            <w:r>
              <w:rPr>
                <w:rFonts w:cs="Times New Roman" w:ascii="Cambria" w:hAnsi="Cambria"/>
                <w:sz w:val="20"/>
                <w:szCs w:val="20"/>
              </w:rPr>
              <w:t>2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  <w:t xml:space="preserve">             </w:t>
            </w:r>
            <w:r>
              <w:rPr>
                <w:rFonts w:cs="Times New Roman" w:ascii="Cambria" w:hAnsi="Cambria"/>
                <w:sz w:val="20"/>
                <w:szCs w:val="20"/>
              </w:rPr>
              <w:t>3</w:t>
            </w:r>
          </w:p>
        </w:tc>
      </w:tr>
      <w:tr>
        <w:trPr/>
        <w:tc>
          <w:tcPr>
            <w:tcW w:w="750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16.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</w:tc>
        <w:tc>
          <w:tcPr>
            <w:tcW w:w="2459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elektryk</w:t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VIII - XI</w:t>
            </w:r>
          </w:p>
        </w:tc>
        <w:tc>
          <w:tcPr>
            <w:tcW w:w="2804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      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 xml:space="preserve">     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zasadnicze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5)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 xml:space="preserve">                            </w:t>
            </w:r>
          </w:p>
        </w:tc>
        <w:tc>
          <w:tcPr>
            <w:tcW w:w="209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2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3</w:t>
            </w:r>
          </w:p>
        </w:tc>
      </w:tr>
      <w:tr>
        <w:trPr/>
        <w:tc>
          <w:tcPr>
            <w:tcW w:w="75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17.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</w:tc>
        <w:tc>
          <w:tcPr>
            <w:tcW w:w="24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rzemieślnik 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starszy rzemieślnik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rzemieślnik specjalista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V - VIII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VIII – XI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IX – XII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280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zasadnicze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5)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zasadnicze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5)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średnie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3)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zasadnicze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5)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20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-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2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3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3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75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18.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</w:tc>
        <w:tc>
          <w:tcPr>
            <w:tcW w:w="24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r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obotnik 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starszy robotnik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II – VIII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IV – IX 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podstawowe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4)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 xml:space="preserve">zasadnicze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19.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</w:tc>
        <w:tc>
          <w:tcPr>
            <w:tcW w:w="24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s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przątaczka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II - VI</w:t>
            </w:r>
          </w:p>
        </w:tc>
        <w:tc>
          <w:tcPr>
            <w:tcW w:w="28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podstawowe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20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Cambria" w:hAnsi="Cambria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24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>g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oniec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II - VIII</w:t>
            </w:r>
          </w:p>
        </w:tc>
        <w:tc>
          <w:tcPr>
            <w:tcW w:w="28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podstawowe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  <w:vertAlign w:val="superscript"/>
              </w:rPr>
              <w:t>4)</w:t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  <w:p>
            <w:pPr>
              <w:pStyle w:val="Normal"/>
              <w:suppressLineNumbers/>
              <w:snapToGrid w:val="false"/>
              <w:jc w:val="center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cs="Times New Roman" w:ascii="Cambria" w:hAnsi="Cambria"/>
                <w:sz w:val="20"/>
                <w:szCs w:val="20"/>
              </w:rPr>
            </w:r>
          </w:p>
        </w:tc>
        <w:tc>
          <w:tcPr>
            <w:tcW w:w="20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eastAsia="Thorndale, 'Times New Roman'" w:cs="Times New Roman"/>
                <w:color w:val="000000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</w:t>
            </w:r>
          </w:p>
          <w:p>
            <w:pPr>
              <w:pStyle w:val="Normal"/>
              <w:suppressLineNumbers/>
              <w:snapToGrid w:val="false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eastAsia="Thorndale, 'Times New Roman'" w:cs="Times New Roman" w:ascii="Cambria" w:hAnsi="Cambria"/>
                <w:color w:val="000000"/>
                <w:sz w:val="20"/>
                <w:szCs w:val="20"/>
              </w:rPr>
              <w:t xml:space="preserve">                 </w:t>
            </w:r>
            <w:r>
              <w:rPr>
                <w:rFonts w:cs="Times New Roman" w:ascii="Cambria" w:hAnsi="Cambria"/>
                <w:color w:val="000000"/>
                <w:sz w:val="20"/>
                <w:szCs w:val="20"/>
              </w:rPr>
              <w:t>-</w:t>
            </w:r>
          </w:p>
        </w:tc>
      </w:tr>
    </w:tbl>
    <w:p>
      <w:pPr>
        <w:pStyle w:val="Normal"/>
        <w:ind w:left="720"/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</w:r>
    </w:p>
    <w:p>
      <w:pPr>
        <w:pStyle w:val="Normal"/>
        <w:ind w:left="720"/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</w:r>
    </w:p>
    <w:p>
      <w:pPr>
        <w:pStyle w:val="Normal"/>
        <w:textAlignment w:val="baseline"/>
        <w:rPr>
          <w:rFonts w:ascii="Cambria" w:hAnsi="Cambria" w:eastAsia="Cambria" w:cs="Times New Roman"/>
          <w:sz w:val="22"/>
          <w:szCs w:val="22"/>
        </w:rPr>
      </w:pPr>
      <w:r>
        <w:rPr>
          <w:rFonts w:eastAsia="Cambria" w:cs="Times New Roman" w:ascii="Cambria" w:hAnsi="Cambria"/>
          <w:sz w:val="22"/>
          <w:szCs w:val="22"/>
        </w:rPr>
      </w:r>
    </w:p>
    <w:p>
      <w:pPr>
        <w:pStyle w:val="Normal"/>
        <w:jc w:val="both"/>
        <w:textAlignment w:val="baseline"/>
        <w:rPr>
          <w:rFonts w:ascii="Cambria" w:hAnsi="Cambria" w:cs="Times New Roman"/>
        </w:rPr>
      </w:pPr>
      <w:r>
        <w:rPr>
          <w:rFonts w:eastAsia="Cambria" w:cs="Times New Roman" w:ascii="Cambria" w:hAnsi="Cambria"/>
          <w:sz w:val="18"/>
          <w:szCs w:val="18"/>
          <w:vertAlign w:val="superscript"/>
        </w:rPr>
        <w:t>1)</w:t>
      </w:r>
      <w:r>
        <w:rPr>
          <w:rFonts w:eastAsia="Cambria" w:cs="Times New Roman" w:ascii="Cambria" w:hAnsi="Cambria"/>
          <w:sz w:val="18"/>
          <w:szCs w:val="18"/>
        </w:rPr>
        <w:t>Szczegółowe wymagania kwalifikacyjne w zakresie wykształcenia i stażu pracy dla kierowniczych stanowisk urzędniczych</w:t>
      </w:r>
    </w:p>
    <w:p>
      <w:pPr>
        <w:pStyle w:val="Normal"/>
        <w:jc w:val="both"/>
        <w:textAlignment w:val="baseline"/>
        <w:rPr>
          <w:rFonts w:ascii="Cambria" w:hAnsi="Cambria" w:cs="Times New Roman"/>
        </w:rPr>
      </w:pPr>
      <w:r>
        <w:rPr>
          <w:rFonts w:eastAsia="Cambria" w:cs="Times New Roman" w:ascii="Cambria" w:hAnsi="Cambria"/>
          <w:sz w:val="18"/>
          <w:szCs w:val="18"/>
        </w:rPr>
        <w:t>i stanowisk urzędniczych uwzględniają wymagania i określone w art.3 ust.3 i 4 ustawy. Wymagania kwalifikacyjne dla pracowników służby bezpieczeństwa i higieny pracy określają odrębne przepisy.</w:t>
      </w:r>
    </w:p>
    <w:p>
      <w:pPr>
        <w:pStyle w:val="Normal"/>
        <w:suppressLineNumbers/>
        <w:jc w:val="both"/>
        <w:textAlignment w:val="baseline"/>
        <w:rPr>
          <w:rFonts w:ascii="Cambria" w:hAnsi="Cambria" w:cs="Times New Roman"/>
          <w:sz w:val="20"/>
          <w:szCs w:val="20"/>
        </w:rPr>
      </w:pPr>
      <w:r>
        <w:rPr>
          <w:rFonts w:cs="Times New Roman" w:ascii="Cambria" w:hAnsi="Cambria"/>
          <w:sz w:val="18"/>
          <w:szCs w:val="18"/>
          <w:vertAlign w:val="superscript"/>
        </w:rPr>
        <w:t>2)</w:t>
      </w:r>
      <w:r>
        <w:rPr>
          <w:rFonts w:cs="Times New Roman" w:ascii="Cambria" w:hAnsi="Cambria"/>
          <w:sz w:val="18"/>
          <w:szCs w:val="18"/>
        </w:rPr>
        <w:t xml:space="preserve">Wyższe odpowiedniej specjalności umożliwiające wykonywanie zadań na stanowisku, a w odniesieniu do stanowisk urzędniczych  </w:t>
      </w:r>
      <w:r>
        <w:rPr>
          <w:rFonts w:cs="Times New Roman" w:ascii="Cambria" w:hAnsi="Cambria"/>
          <w:sz w:val="20"/>
          <w:szCs w:val="20"/>
        </w:rPr>
        <w:t xml:space="preserve"> </w:t>
      </w:r>
      <w:r>
        <w:rPr>
          <w:rFonts w:cs="Times New Roman" w:ascii="Cambria" w:hAnsi="Cambria"/>
          <w:sz w:val="18"/>
          <w:szCs w:val="18"/>
        </w:rPr>
        <w:t>i kierowniczych  urzędniczych  stosownie do opisu stanowiska, o którym mowa w art. 3A ust. 5 pkt.3 ustawy.</w:t>
      </w:r>
    </w:p>
    <w:p>
      <w:pPr>
        <w:pStyle w:val="Normal"/>
        <w:suppressLineNumbers/>
        <w:jc w:val="both"/>
        <w:textAlignment w:val="baseline"/>
        <w:rPr>
          <w:rFonts w:ascii="Cambria" w:hAnsi="Cambria" w:cs="Times New Roman"/>
          <w:sz w:val="20"/>
          <w:szCs w:val="20"/>
        </w:rPr>
      </w:pPr>
      <w:r>
        <w:rPr>
          <w:rFonts w:cs="Times New Roman" w:ascii="Cambria" w:hAnsi="Cambria"/>
          <w:sz w:val="18"/>
          <w:szCs w:val="18"/>
          <w:vertAlign w:val="superscript"/>
        </w:rPr>
        <w:t>3)</w:t>
      </w:r>
      <w:r>
        <w:rPr>
          <w:rFonts w:cs="Times New Roman" w:ascii="Cambria" w:hAnsi="Cambria"/>
          <w:sz w:val="18"/>
          <w:szCs w:val="18"/>
        </w:rPr>
        <w:t>Średnie o profilu ogólnym lub zawodowym umożliwiające wykonywanie zadań na stanowisku, a w odniesieniu do stanowisk urzędniczych i kierowniczych urzędniczych stosownie do opisu stanowiska, o którym mowa w art. 3A ust.5 pkt 3 ustawy.</w:t>
      </w:r>
    </w:p>
    <w:p>
      <w:pPr>
        <w:pStyle w:val="Normal"/>
        <w:suppressLineNumbers/>
        <w:jc w:val="both"/>
        <w:textAlignment w:val="baseline"/>
        <w:rPr>
          <w:rFonts w:ascii="Cambria" w:hAnsi="Cambria" w:cs="Times New Roman"/>
          <w:sz w:val="20"/>
          <w:szCs w:val="20"/>
        </w:rPr>
      </w:pPr>
      <w:r>
        <w:rPr>
          <w:rFonts w:cs="Times New Roman" w:ascii="Cambria" w:hAnsi="Cambria"/>
          <w:sz w:val="18"/>
          <w:szCs w:val="18"/>
          <w:vertAlign w:val="superscript"/>
        </w:rPr>
        <w:t>4</w:t>
      </w:r>
      <w:r>
        <w:rPr>
          <w:rFonts w:cs="Times New Roman" w:ascii="Cambria" w:hAnsi="Cambria"/>
          <w:sz w:val="18"/>
          <w:szCs w:val="18"/>
        </w:rPr>
        <w:t>)Podstawowe i umiejętność wykonywania czynności.</w:t>
      </w:r>
    </w:p>
    <w:p>
      <w:pPr>
        <w:pStyle w:val="Normal"/>
        <w:suppressLineNumbers/>
        <w:jc w:val="both"/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sz w:val="18"/>
          <w:szCs w:val="18"/>
          <w:vertAlign w:val="superscript"/>
        </w:rPr>
        <w:t>5)</w:t>
      </w:r>
      <w:r>
        <w:rPr>
          <w:rFonts w:cs="Times New Roman" w:ascii="Cambria" w:hAnsi="Cambria"/>
          <w:sz w:val="18"/>
          <w:szCs w:val="18"/>
        </w:rPr>
        <w:t>Zasadnicze zawodowe umożliwiające wykonywanie zadań na stanowisku.</w:t>
      </w:r>
    </w:p>
    <w:p>
      <w:pPr>
        <w:pStyle w:val="Normal"/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</w:r>
    </w:p>
    <w:p>
      <w:pPr>
        <w:pStyle w:val="Normal"/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</w:r>
    </w:p>
    <w:p>
      <w:pPr>
        <w:pStyle w:val="Normal"/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</w:r>
    </w:p>
    <w:p>
      <w:pPr>
        <w:pStyle w:val="Normal"/>
        <w:textAlignment w:val="baseline"/>
        <w:rPr>
          <w:rFonts w:ascii="Cambria" w:hAnsi="Cambria" w:cs="Times New Roman"/>
          <w:b/>
          <w:bCs/>
          <w:sz w:val="22"/>
          <w:szCs w:val="22"/>
        </w:rPr>
      </w:pPr>
      <w:r>
        <w:rPr>
          <w:rFonts w:cs="Times New Roman" w:ascii="Cambria" w:hAnsi="Cambria"/>
          <w:b/>
          <w:bCs/>
          <w:sz w:val="22"/>
          <w:szCs w:val="22"/>
        </w:rPr>
      </w:r>
    </w:p>
    <w:p>
      <w:pPr>
        <w:pStyle w:val="Normal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Standard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</w:r>
    </w:p>
    <w:p>
      <w:pPr>
        <w:pStyle w:val="Standard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</w:r>
    </w:p>
    <w:p>
      <w:pPr>
        <w:pStyle w:val="Standard"/>
        <w:ind w:firstLine="708" w:left="2124"/>
        <w:jc w:val="right"/>
        <w:rPr/>
      </w:pPr>
      <w:r>
        <w:rPr>
          <w:rFonts w:cs="Calibri" w:ascii="Calibri" w:hAnsi="Calibri"/>
        </w:rPr>
        <w:t xml:space="preserve">   </w:t>
      </w:r>
      <w:r>
        <w:rPr>
          <w:rFonts w:cs="Calibri" w:ascii="Calibri" w:hAnsi="Calibri"/>
        </w:rPr>
        <w:tab/>
        <w:t xml:space="preserve">                                                          </w:t>
      </w:r>
      <w:r>
        <w:rPr>
          <w:rFonts w:cs="Cambria" w:ascii="Cambria" w:hAnsi="Cambria"/>
          <w:sz w:val="22"/>
          <w:szCs w:val="22"/>
        </w:rPr>
        <w:t xml:space="preserve">Załącznik nr 3  </w:t>
      </w:r>
      <w:r>
        <w:rPr>
          <w:rFonts w:cs="Calibri" w:ascii="Calibri" w:hAnsi="Calibri"/>
          <w:sz w:val="22"/>
          <w:szCs w:val="22"/>
        </w:rPr>
        <w:t xml:space="preserve">      </w:t>
        <w:tab/>
        <w:tab/>
        <w:tab/>
        <w:tab/>
        <w:tab/>
        <w:t xml:space="preserve">do   </w:t>
      </w:r>
      <w:r>
        <w:rPr>
          <w:rFonts w:cs="Cambria" w:ascii="Cambria" w:hAnsi="Cambria"/>
          <w:sz w:val="22"/>
          <w:szCs w:val="22"/>
        </w:rPr>
        <w:t>Zarządzenia Nr 82/2024</w:t>
      </w:r>
    </w:p>
    <w:p>
      <w:pPr>
        <w:pStyle w:val="Standard"/>
        <w:jc w:val="right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ab/>
        <w:tab/>
        <w:tab/>
        <w:tab/>
        <w:t xml:space="preserve">Wójta Gminy Gorzkowice  </w:t>
      </w:r>
    </w:p>
    <w:p>
      <w:pPr>
        <w:pStyle w:val="Standard"/>
        <w:jc w:val="right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ab/>
        <w:tab/>
        <w:tab/>
        <w:tab/>
        <w:tab/>
        <w:tab/>
        <w:t>z dnia  27 grudnia   2024  roku</w:t>
      </w:r>
    </w:p>
    <w:p>
      <w:pPr>
        <w:pStyle w:val="Standard"/>
        <w:jc w:val="right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ind w:firstLine="432" w:left="708"/>
        <w:rPr/>
      </w:pPr>
      <w:r>
        <w:rPr>
          <w:rFonts w:eastAsia="Calibri" w:cs="Calibri" w:ascii="Cambria" w:hAnsi="Cambria"/>
          <w:b/>
          <w:bCs/>
        </w:rPr>
        <w:t xml:space="preserve">MAKSYMALNY  POZIOM DODATKU FUNKCYJNEGO DLA </w:t>
        <w:tab/>
        <w:tab/>
        <w:t xml:space="preserve">                     STANOWISK, O KTÓRYCH MOWA W § 10 UST. 1 REGULAMINU</w:t>
      </w:r>
    </w:p>
    <w:p>
      <w:pPr>
        <w:pStyle w:val="Standard"/>
        <w:rPr>
          <w:rFonts w:ascii="Cambria" w:hAnsi="Cambria" w:eastAsia="Calibri" w:cs="Calibri"/>
          <w:b/>
          <w:bCs/>
        </w:rPr>
      </w:pPr>
      <w:r>
        <w:rPr>
          <w:rFonts w:eastAsia="Calibri" w:cs="Calibri" w:ascii="Cambria" w:hAnsi="Cambria"/>
          <w:b/>
          <w:bCs/>
        </w:rPr>
        <w:t xml:space="preserve"> </w:t>
      </w:r>
    </w:p>
    <w:p>
      <w:pPr>
        <w:pStyle w:val="Standard"/>
        <w:rPr>
          <w:rFonts w:ascii="Cambria" w:hAnsi="Cambria" w:cs="Calibri"/>
          <w:b/>
          <w:bCs/>
        </w:rPr>
      </w:pPr>
      <w:r>
        <w:rPr>
          <w:rFonts w:cs="Calibri" w:ascii="Cambria" w:hAnsi="Cambria"/>
          <w:b/>
          <w:bCs/>
        </w:rPr>
      </w:r>
    </w:p>
    <w:p>
      <w:pPr>
        <w:pStyle w:val="Standard"/>
        <w:rPr>
          <w:rFonts w:ascii="Cambria" w:hAnsi="Cambria" w:cs="Calibri"/>
          <w:b/>
          <w:bCs/>
        </w:rPr>
      </w:pPr>
      <w:r>
        <w:rPr>
          <w:rFonts w:cs="Calibri" w:ascii="Cambria" w:hAnsi="Cambria"/>
          <w:b/>
          <w:bCs/>
        </w:rPr>
      </w:r>
    </w:p>
    <w:tbl>
      <w:tblPr>
        <w:tblW w:w="964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213"/>
        <w:gridCol w:w="3213"/>
        <w:gridCol w:w="3219"/>
      </w:tblGrid>
      <w:tr>
        <w:trPr/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Zawartotabeli"/>
              <w:snapToGrid w:val="false"/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>
              <w:rPr>
                <w:rFonts w:cs="Calibri" w:ascii="Cambria" w:hAnsi="Cambria"/>
                <w:b/>
                <w:bCs/>
                <w:sz w:val="22"/>
                <w:szCs w:val="22"/>
              </w:rPr>
            </w:r>
          </w:p>
          <w:p>
            <w:pPr>
              <w:pStyle w:val="Zawartotabeli"/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>
              <w:rPr>
                <w:rFonts w:cs="Calibri" w:ascii="Cambria" w:hAnsi="Cambria"/>
                <w:b/>
                <w:bCs/>
                <w:sz w:val="22"/>
                <w:szCs w:val="22"/>
              </w:rPr>
              <w:t>L. p.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Zawartotabeli"/>
              <w:snapToGrid w:val="false"/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>
              <w:rPr>
                <w:rFonts w:cs="Calibri" w:ascii="Cambria" w:hAnsi="Cambria"/>
                <w:b/>
                <w:bCs/>
                <w:sz w:val="22"/>
                <w:szCs w:val="22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>
              <w:rPr>
                <w:rFonts w:cs="Calibri" w:ascii="Cambria" w:hAnsi="Cambria"/>
                <w:b/>
                <w:bCs/>
                <w:sz w:val="22"/>
                <w:szCs w:val="22"/>
              </w:rPr>
              <w:t>Stanowisko</w:t>
            </w:r>
          </w:p>
        </w:tc>
        <w:tc>
          <w:tcPr>
            <w:tcW w:w="3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Zawartotabeli"/>
              <w:snapToGrid w:val="false"/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>
              <w:rPr>
                <w:rFonts w:cs="Calibri" w:ascii="Cambria" w:hAnsi="Cambria"/>
                <w:b/>
                <w:bCs/>
                <w:sz w:val="22"/>
                <w:szCs w:val="22"/>
              </w:rPr>
            </w:r>
          </w:p>
          <w:p>
            <w:pPr>
              <w:pStyle w:val="Zawartotabeli"/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>
              <w:rPr>
                <w:rFonts w:cs="Calibri" w:ascii="Cambria" w:hAnsi="Cambria"/>
                <w:b/>
                <w:bCs/>
                <w:sz w:val="22"/>
                <w:szCs w:val="22"/>
              </w:rPr>
              <w:t xml:space="preserve">Maksymalny  poziom dodatku funkcyjnego   </w:t>
            </w:r>
          </w:p>
          <w:p>
            <w:pPr>
              <w:pStyle w:val="Zawartotabeli"/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>
              <w:rPr>
                <w:rFonts w:cs="Calibri" w:ascii="Cambria" w:hAnsi="Cambria"/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1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Sekretarz Gminy</w:t>
            </w:r>
          </w:p>
        </w:tc>
        <w:tc>
          <w:tcPr>
            <w:tcW w:w="32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8</w:t>
            </w:r>
          </w:p>
        </w:tc>
      </w:tr>
      <w:tr>
        <w:trPr/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2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Zastępca Głównego Księgowego</w:t>
            </w:r>
          </w:p>
        </w:tc>
        <w:tc>
          <w:tcPr>
            <w:tcW w:w="32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7</w:t>
            </w:r>
          </w:p>
        </w:tc>
      </w:tr>
      <w:tr>
        <w:trPr/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3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Kierownik Referatu/Kierownik USC</w:t>
            </w:r>
          </w:p>
        </w:tc>
        <w:tc>
          <w:tcPr>
            <w:tcW w:w="32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5</w:t>
            </w:r>
          </w:p>
        </w:tc>
      </w:tr>
      <w:tr>
        <w:trPr/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4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Zastępca Kierownika Referatu/ Zastępca Kierownika USC</w:t>
            </w:r>
          </w:p>
        </w:tc>
        <w:tc>
          <w:tcPr>
            <w:tcW w:w="32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4</w:t>
            </w:r>
          </w:p>
        </w:tc>
      </w:tr>
      <w:tr>
        <w:trPr/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5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Radca Prawny</w:t>
            </w:r>
          </w:p>
        </w:tc>
        <w:tc>
          <w:tcPr>
            <w:tcW w:w="32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4</w:t>
            </w:r>
          </w:p>
        </w:tc>
      </w:tr>
      <w:tr>
        <w:trPr/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6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Pełnomocnik Informacji Niejawnych</w:t>
            </w:r>
          </w:p>
        </w:tc>
        <w:tc>
          <w:tcPr>
            <w:tcW w:w="32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3</w:t>
            </w:r>
          </w:p>
        </w:tc>
      </w:tr>
      <w:tr>
        <w:trPr/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7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Główny specjalista</w:t>
            </w:r>
          </w:p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</w:r>
          </w:p>
        </w:tc>
        <w:tc>
          <w:tcPr>
            <w:tcW w:w="32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3</w:t>
            </w:r>
          </w:p>
        </w:tc>
      </w:tr>
    </w:tbl>
    <w:p>
      <w:pPr>
        <w:pStyle w:val="Standard"/>
        <w:spacing w:lineRule="auto" w:line="360" w:before="280" w:after="0"/>
        <w:jc w:val="center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jc w:val="both"/>
        <w:rPr>
          <w:rFonts w:ascii="Calibri" w:hAnsi="Calibri" w:eastAsia="Cambria" w:cs="Cambria"/>
          <w:sz w:val="18"/>
          <w:szCs w:val="18"/>
        </w:rPr>
      </w:pPr>
      <w:r>
        <w:rPr>
          <w:rFonts w:eastAsia="Cambria" w:cs="Cambria" w:ascii="Calibri" w:hAnsi="Calibri"/>
          <w:sz w:val="18"/>
          <w:szCs w:val="18"/>
        </w:rPr>
      </w:r>
    </w:p>
    <w:p>
      <w:pPr>
        <w:pStyle w:val="Endnote"/>
        <w:ind w:hanging="0" w:left="0"/>
        <w:rPr/>
      </w:pPr>
      <w:r>
        <w:rPr/>
      </w:r>
    </w:p>
    <w:p>
      <w:pPr>
        <w:pStyle w:val="Standard"/>
        <w:ind w:firstLine="708" w:left="2124"/>
        <w:rPr>
          <w:rFonts w:ascii="Calibri" w:hAnsi="Calibri" w:cs="Calibri"/>
        </w:rPr>
      </w:pPr>
      <w:r>
        <w:rPr>
          <w:rFonts w:cs="Calibri" w:ascii="Calibri" w:hAnsi="Calibri"/>
        </w:rPr>
        <w:tab/>
        <w:tab/>
        <w:tab/>
        <w:tab/>
      </w:r>
    </w:p>
    <w:p>
      <w:pPr>
        <w:pStyle w:val="Standard"/>
        <w:ind w:firstLine="708" w:left="2124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ind w:firstLine="708" w:left="2124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ind w:firstLine="708" w:left="2124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ind w:firstLine="708" w:left="2124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ind w:firstLine="708" w:left="2124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ind w:firstLine="708" w:left="2124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ind w:firstLine="708" w:left="2124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ind w:firstLine="708" w:left="2124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ind w:firstLine="708" w:left="2124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ind w:firstLine="708" w:left="2124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ind w:firstLine="708" w:left="2124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ind w:firstLine="708" w:left="2124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ind w:firstLine="708" w:left="2124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ind w:firstLine="708" w:left="4956"/>
        <w:rPr/>
      </w:pPr>
      <w:r>
        <w:rPr>
          <w:rFonts w:cs="Cambria" w:ascii="Cambria" w:hAnsi="Cambria"/>
          <w:sz w:val="22"/>
          <w:szCs w:val="22"/>
        </w:rPr>
        <w:t xml:space="preserve">                                     </w:t>
      </w:r>
      <w:r>
        <w:rPr>
          <w:rFonts w:cs="Cambria" w:ascii="Cambria" w:hAnsi="Cambria"/>
          <w:sz w:val="22"/>
          <w:szCs w:val="22"/>
        </w:rPr>
        <w:t xml:space="preserve">Załącznik nr 4  </w:t>
      </w:r>
      <w:r>
        <w:rPr>
          <w:rFonts w:cs="Calibri" w:ascii="Calibri" w:hAnsi="Calibri"/>
          <w:sz w:val="22"/>
          <w:szCs w:val="22"/>
        </w:rPr>
        <w:t xml:space="preserve">      </w:t>
        <w:tab/>
        <w:tab/>
        <w:tab/>
        <w:tab/>
        <w:tab/>
        <w:tab/>
        <w:tab/>
        <w:t xml:space="preserve">do </w:t>
      </w:r>
      <w:r>
        <w:rPr>
          <w:rFonts w:cs="Cambria" w:ascii="Cambria" w:hAnsi="Cambria"/>
          <w:sz w:val="22"/>
          <w:szCs w:val="22"/>
        </w:rPr>
        <w:t>Zarządzenia Nr 82/2024</w:t>
      </w:r>
    </w:p>
    <w:p>
      <w:pPr>
        <w:pStyle w:val="Standard"/>
        <w:jc w:val="both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ab/>
        <w:tab/>
        <w:tab/>
        <w:tab/>
        <w:tab/>
        <w:tab/>
        <w:tab/>
        <w:tab/>
        <w:tab/>
        <w:t xml:space="preserve">     Wójta Gminy Gorzkowice  </w:t>
      </w:r>
    </w:p>
    <w:p>
      <w:pPr>
        <w:pStyle w:val="Standard"/>
        <w:jc w:val="both"/>
        <w:rPr>
          <w:rFonts w:ascii="Cambria" w:hAnsi="Cambria" w:cs="Cambria"/>
          <w:sz w:val="22"/>
          <w:szCs w:val="22"/>
        </w:rPr>
      </w:pPr>
      <w:r>
        <w:rPr>
          <w:rFonts w:cs="Cambria" w:ascii="Cambria" w:hAnsi="Cambria"/>
          <w:sz w:val="22"/>
          <w:szCs w:val="22"/>
        </w:rPr>
        <w:tab/>
        <w:tab/>
        <w:tab/>
        <w:tab/>
        <w:tab/>
        <w:tab/>
        <w:tab/>
        <w:tab/>
        <w:t xml:space="preserve">              z dnia  27 grudnia  2024  roku</w:t>
      </w:r>
    </w:p>
    <w:p>
      <w:pPr>
        <w:pStyle w:val="Standard"/>
        <w:jc w:val="right"/>
        <w:rPr/>
      </w:pPr>
      <w:r>
        <w:rPr>
          <w:rFonts w:eastAsia="Cambria" w:cs="Cambria" w:ascii="Cambria" w:hAnsi="Cambria"/>
          <w:sz w:val="22"/>
          <w:szCs w:val="22"/>
        </w:rPr>
        <w:t xml:space="preserve">                                                  </w:t>
      </w:r>
      <w:r>
        <w:rPr>
          <w:rFonts w:cs="Calibri" w:ascii="Calibri" w:hAnsi="Calibri"/>
          <w:sz w:val="22"/>
          <w:szCs w:val="22"/>
        </w:rPr>
        <w:tab/>
        <w:tab/>
        <w:tab/>
        <w:tab/>
        <w:tab/>
        <w:tab/>
        <w:tab/>
        <w:tab/>
        <w:t xml:space="preserve">                    </w:t>
      </w:r>
      <w:r>
        <w:rPr>
          <w:rFonts w:cs="Calibri" w:ascii="Calibri" w:hAnsi="Calibri"/>
        </w:rPr>
        <w:tab/>
        <w:tab/>
        <w:tab/>
        <w:tab/>
        <w:tab/>
        <w:tab/>
        <w:tab/>
        <w:tab/>
        <w:t xml:space="preserve">    </w:t>
      </w:r>
    </w:p>
    <w:p>
      <w:pPr>
        <w:pStyle w:val="Standard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rPr/>
      </w:pPr>
      <w:r>
        <w:rPr>
          <w:rFonts w:eastAsia="Calibri" w:cs="Calibri" w:ascii="Calibri" w:hAnsi="Calibri"/>
          <w:b/>
          <w:bCs/>
        </w:rPr>
        <w:t xml:space="preserve">                                  </w:t>
      </w:r>
      <w:r>
        <w:rPr>
          <w:rFonts w:eastAsia="Calibri" w:cs="Calibri" w:ascii="Cambria" w:hAnsi="Cambria"/>
          <w:b/>
          <w:bCs/>
        </w:rPr>
        <w:t xml:space="preserve">      </w:t>
      </w:r>
      <w:r>
        <w:rPr>
          <w:rFonts w:cs="Calibri" w:ascii="Cambria" w:hAnsi="Cambria"/>
          <w:b/>
          <w:bCs/>
        </w:rPr>
        <w:t>TABELA  STAWEK  DODATKU  FUNKCYJNEGO</w:t>
      </w:r>
    </w:p>
    <w:p>
      <w:pPr>
        <w:pStyle w:val="Standard"/>
        <w:rPr>
          <w:rFonts w:ascii="Cambria" w:hAnsi="Cambria" w:eastAsia="Calibri" w:cs="Calibri"/>
          <w:b/>
          <w:bCs/>
        </w:rPr>
      </w:pPr>
      <w:r>
        <w:rPr>
          <w:rFonts w:eastAsia="Calibri" w:cs="Calibri" w:ascii="Cambria" w:hAnsi="Cambria"/>
          <w:b/>
          <w:bCs/>
        </w:rPr>
        <w:t xml:space="preserve"> </w:t>
      </w:r>
    </w:p>
    <w:p>
      <w:pPr>
        <w:pStyle w:val="Standard"/>
        <w:rPr>
          <w:rFonts w:ascii="Cambria" w:hAnsi="Cambria" w:cs="Calibri"/>
          <w:b/>
          <w:bCs/>
        </w:rPr>
      </w:pPr>
      <w:r>
        <w:rPr>
          <w:rFonts w:cs="Calibri" w:ascii="Cambria" w:hAnsi="Cambria"/>
          <w:b/>
          <w:bCs/>
        </w:rPr>
      </w:r>
    </w:p>
    <w:p>
      <w:pPr>
        <w:pStyle w:val="Standard"/>
        <w:rPr>
          <w:rFonts w:ascii="Cambria" w:hAnsi="Cambria" w:cs="Calibri"/>
          <w:b/>
          <w:bCs/>
        </w:rPr>
      </w:pPr>
      <w:r>
        <w:rPr>
          <w:rFonts w:cs="Calibri" w:ascii="Cambria" w:hAnsi="Cambria"/>
          <w:b/>
          <w:bCs/>
        </w:rPr>
      </w:r>
    </w:p>
    <w:p>
      <w:pPr>
        <w:pStyle w:val="Standard"/>
        <w:rPr>
          <w:rFonts w:ascii="Cambria" w:hAnsi="Cambria" w:cs="Calibri"/>
          <w:b/>
          <w:bCs/>
        </w:rPr>
      </w:pPr>
      <w:r>
        <w:rPr>
          <w:rFonts w:cs="Calibri" w:ascii="Cambria" w:hAnsi="Cambria"/>
          <w:b/>
          <w:bCs/>
        </w:rPr>
      </w:r>
    </w:p>
    <w:tbl>
      <w:tblPr>
        <w:tblW w:w="964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817"/>
        <w:gridCol w:w="4827"/>
      </w:tblGrid>
      <w:tr>
        <w:trPr/>
        <w:tc>
          <w:tcPr>
            <w:tcW w:w="4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Zawartotabeli"/>
              <w:snapToGrid w:val="false"/>
              <w:jc w:val="center"/>
              <w:rPr>
                <w:rFonts w:ascii="Cambria" w:hAnsi="Cambria" w:cs="Calibri"/>
                <w:b/>
                <w:bCs/>
              </w:rPr>
            </w:pPr>
            <w:r>
              <w:rPr>
                <w:rFonts w:cs="Calibri" w:ascii="Cambria" w:hAnsi="Cambria"/>
                <w:b/>
                <w:bCs/>
              </w:rPr>
            </w:r>
          </w:p>
          <w:p>
            <w:pPr>
              <w:pStyle w:val="Zawartotabeli"/>
              <w:jc w:val="center"/>
              <w:rPr>
                <w:rFonts w:ascii="Cambria" w:hAnsi="Cambria" w:cs="Calibri"/>
                <w:b/>
                <w:bCs/>
              </w:rPr>
            </w:pPr>
            <w:r>
              <w:rPr>
                <w:rFonts w:cs="Calibri" w:ascii="Cambria" w:hAnsi="Cambria"/>
                <w:b/>
                <w:bCs/>
              </w:rPr>
              <w:t>Stawka  dodatku  funkcyjnego</w:t>
            </w:r>
          </w:p>
        </w:tc>
        <w:tc>
          <w:tcPr>
            <w:tcW w:w="4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Zawartotabeli"/>
              <w:snapToGrid w:val="false"/>
              <w:jc w:val="center"/>
              <w:rPr>
                <w:rFonts w:ascii="Cambria" w:hAnsi="Cambria" w:cs="Calibri"/>
                <w:b/>
                <w:bCs/>
              </w:rPr>
            </w:pPr>
            <w:r>
              <w:rPr>
                <w:rFonts w:cs="Calibri" w:ascii="Cambria" w:hAnsi="Cambria"/>
                <w:b/>
                <w:bCs/>
              </w:rPr>
            </w:r>
          </w:p>
          <w:p>
            <w:pPr>
              <w:pStyle w:val="Zawartotabeli"/>
              <w:jc w:val="center"/>
              <w:rPr>
                <w:rFonts w:ascii="Cambria" w:hAnsi="Cambria" w:cs="Calibri"/>
                <w:b/>
                <w:bCs/>
              </w:rPr>
            </w:pPr>
            <w:r>
              <w:rPr>
                <w:rFonts w:cs="Calibri" w:ascii="Cambria" w:hAnsi="Cambria"/>
                <w:b/>
                <w:bCs/>
              </w:rPr>
              <w:t xml:space="preserve">Maksymalny  poziom dodatku funkcyjnego   </w:t>
            </w:r>
          </w:p>
          <w:p>
            <w:pPr>
              <w:pStyle w:val="Zawartotabeli"/>
              <w:jc w:val="center"/>
              <w:rPr>
                <w:rFonts w:ascii="Cambria" w:hAnsi="Cambria" w:cs="Calibri"/>
                <w:b/>
                <w:bCs/>
              </w:rPr>
            </w:pPr>
            <w:r>
              <w:rPr>
                <w:rFonts w:cs="Calibri" w:ascii="Cambria" w:hAnsi="Cambria"/>
                <w:b/>
                <w:bCs/>
              </w:rPr>
              <w:t>(kwota w złotych)</w:t>
            </w:r>
          </w:p>
        </w:tc>
      </w:tr>
      <w:tr>
        <w:trPr/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1</w:t>
            </w:r>
          </w:p>
        </w:tc>
        <w:tc>
          <w:tcPr>
            <w:tcW w:w="4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960</w:t>
            </w:r>
          </w:p>
        </w:tc>
      </w:tr>
      <w:tr>
        <w:trPr/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2</w:t>
            </w:r>
          </w:p>
        </w:tc>
        <w:tc>
          <w:tcPr>
            <w:tcW w:w="4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1280</w:t>
            </w:r>
          </w:p>
        </w:tc>
      </w:tr>
      <w:tr>
        <w:trPr/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3</w:t>
            </w:r>
          </w:p>
        </w:tc>
        <w:tc>
          <w:tcPr>
            <w:tcW w:w="4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1760</w:t>
            </w:r>
          </w:p>
        </w:tc>
      </w:tr>
      <w:tr>
        <w:trPr/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4</w:t>
            </w:r>
          </w:p>
        </w:tc>
        <w:tc>
          <w:tcPr>
            <w:tcW w:w="4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2240</w:t>
            </w:r>
          </w:p>
        </w:tc>
      </w:tr>
      <w:tr>
        <w:trPr/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5</w:t>
            </w:r>
          </w:p>
        </w:tc>
        <w:tc>
          <w:tcPr>
            <w:tcW w:w="4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2400</w:t>
            </w:r>
          </w:p>
        </w:tc>
      </w:tr>
      <w:tr>
        <w:trPr/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6</w:t>
            </w:r>
          </w:p>
        </w:tc>
        <w:tc>
          <w:tcPr>
            <w:tcW w:w="4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2700</w:t>
            </w:r>
          </w:p>
        </w:tc>
      </w:tr>
      <w:tr>
        <w:trPr/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7</w:t>
            </w:r>
          </w:p>
        </w:tc>
        <w:tc>
          <w:tcPr>
            <w:tcW w:w="4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3000</w:t>
            </w:r>
          </w:p>
        </w:tc>
      </w:tr>
      <w:tr>
        <w:trPr/>
        <w:tc>
          <w:tcPr>
            <w:tcW w:w="48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8</w:t>
            </w:r>
          </w:p>
        </w:tc>
        <w:tc>
          <w:tcPr>
            <w:tcW w:w="4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3300</w:t>
            </w:r>
          </w:p>
        </w:tc>
      </w:tr>
    </w:tbl>
    <w:p>
      <w:pPr>
        <w:pStyle w:val="Standard"/>
        <w:spacing w:lineRule="auto" w:line="360" w:before="280" w:after="0"/>
        <w:jc w:val="center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rPr>
          <w:rFonts w:ascii="Cambria" w:hAnsi="Cambria" w:eastAsia="Cambria" w:cs="Cambria"/>
          <w:sz w:val="22"/>
          <w:szCs w:val="22"/>
        </w:rPr>
      </w:pPr>
      <w:r>
        <w:rPr>
          <w:rFonts w:eastAsia="Cambria" w:cs="Cambria" w:ascii="Cambria" w:hAnsi="Cambria"/>
          <w:sz w:val="22"/>
          <w:szCs w:val="22"/>
        </w:rPr>
      </w:r>
    </w:p>
    <w:p>
      <w:pPr>
        <w:pStyle w:val="Standard"/>
        <w:jc w:val="both"/>
        <w:rPr>
          <w:rFonts w:ascii="Calibri" w:hAnsi="Calibri" w:eastAsia="Cambria" w:cs="Cambria"/>
          <w:sz w:val="18"/>
          <w:szCs w:val="18"/>
        </w:rPr>
      </w:pPr>
      <w:r>
        <w:rPr>
          <w:rFonts w:eastAsia="Cambria" w:cs="Cambria" w:ascii="Calibri" w:hAnsi="Calibri"/>
          <w:sz w:val="18"/>
          <w:szCs w:val="18"/>
        </w:rPr>
      </w:r>
    </w:p>
    <w:p>
      <w:pPr>
        <w:pStyle w:val="Endnote"/>
        <w:ind w:hanging="0" w:left="0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>
          <w:rFonts w:ascii="Calibri" w:hAnsi="Calibri" w:cs="Calibri"/>
        </w:rPr>
      </w:pPr>
      <w:r>
        <w:rPr>
          <w:rFonts w:cs="Calibri" w:ascii="Calibri" w:hAnsi="Calibri"/>
        </w:rPr>
        <w:tab/>
        <w:tab/>
        <w:tab/>
        <w:tab/>
        <w:tab/>
        <w:tab/>
        <w:tab/>
        <w:tab/>
        <w:tab/>
        <w:tab/>
        <w:tab/>
        <w:t xml:space="preserve">     </w:t>
      </w:r>
    </w:p>
    <w:p>
      <w:pPr>
        <w:pStyle w:val="Standard"/>
        <w:rPr>
          <w:rFonts w:ascii="Calibri" w:hAnsi="Calibri" w:cs="Calibri"/>
        </w:rPr>
      </w:pPr>
      <w:r>
        <w:rPr>
          <w:rFonts w:cs="Calibri" w:ascii="Calibri" w:hAnsi="Calibri"/>
        </w:rPr>
      </w:r>
    </w:p>
    <w:sectPr>
      <w:endnotePr>
        <w:pos w:val="sectEnd"/>
        <w:numFmt w:val="lowerRoman"/>
      </w:endnote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endnotes.xml><?xml version="1.0" encoding="utf-8"?>
<w:end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endnote w:id="0" w:type="separator">
    <w:p>
      <w:r>
        <w:separator/>
      </w:r>
    </w:p>
  </w:endnote>
  <w:endnote w:id="1" w:type="continuationSeparator">
    <w:p>
      <w:r>
        <w:continuationSeparator/>
      </w:r>
    </w:p>
  </w:endnote>
  <w:endnote w:id="2">
    <w:p>
      <w:pPr>
        <w:pStyle w:val="Endnote"/>
        <w:ind w:hanging="0" w:left="0"/>
        <w:rPr/>
      </w:pPr>
      <w:r>
        <w:rPr>
          <w:rStyle w:val="Znakiprzypiswkocowych"/>
        </w:rPr>
        <w:t>1)</w:t>
      </w:r>
      <w:r>
        <w:rPr>
          <w:rStyle w:val="Znakiprzypiswkocowych"/>
        </w:rPr>
        <w:t>1</w:t>
      </w:r>
    </w:p>
  </w:endnote>
  <w:endnote w:id="3">
    <w:p>
      <w:pPr>
        <w:pStyle w:val="Endnote"/>
        <w:ind w:hanging="0" w:left="0"/>
        <w:rPr/>
      </w:pPr>
      <w:r>
        <w:rPr>
          <w:rStyle w:val="Znakiprzypiswkocowych"/>
        </w:rPr>
        <w:t>2)</w:t>
      </w:r>
      <w:r>
        <w:rPr>
          <w:rStyle w:val="Znakiprzypiswkocowych"/>
        </w:rPr>
        <w:t>2</w:t>
      </w:r>
      <w:r>
        <w:rPr>
          <w:rStyle w:val="WW-Znakiprzypiswkocowych"/>
          <w:rFonts w:cs="Thorndale, 'Times New Roman'"/>
        </w:rPr>
        <w:tab/>
      </w:r>
    </w:p>
  </w:endnote>
  <w:endnote w:id="4">
    <w:p>
      <w:pPr>
        <w:pStyle w:val="Endnote"/>
        <w:ind w:hanging="0" w:left="0"/>
        <w:rPr/>
      </w:pPr>
      <w:r>
        <w:rPr>
          <w:rStyle w:val="Znakiprzypiswkocowych"/>
        </w:rPr>
        <w:t>2)</w:t>
      </w:r>
      <w:r>
        <w:rPr>
          <w:rStyle w:val="Znakiprzypiswkocowych"/>
        </w:rPr>
        <w:t>2</w:t>
      </w:r>
      <w:r>
        <w:rPr>
          <w:rStyle w:val="WW-Znakiprzypiswkocowych"/>
          <w:rFonts w:cs="Thorndale, 'Times New Roman'"/>
        </w:rPr>
        <w:tab/>
      </w:r>
    </w:p>
  </w:endnote>
  <w:endnote w:id="5">
    <w:p>
      <w:pPr>
        <w:pStyle w:val="Endnote"/>
        <w:ind w:hanging="0" w:left="0"/>
        <w:rPr/>
      </w:pPr>
      <w:r>
        <w:rPr>
          <w:rStyle w:val="Znakiprzypiswkocowych"/>
        </w:rPr>
        <w:t>3)</w:t>
      </w:r>
      <w:r>
        <w:rPr>
          <w:rStyle w:val="Znakiprzypiswkocowych"/>
        </w:rPr>
        <w:t>3</w:t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">
    <w:charset w:val="ee"/>
    <w:family w:val="swiss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mbri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/>
    </w:lvl>
  </w:abstractNum>
  <w:abstractNum w:abstractNumId="3"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hanging="0"/>
      </w:pPr>
      <w:rPr>
        <w:sz w:val="22"/>
        <w:szCs w:val="22"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4"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hanging="0"/>
      </w:pPr>
      <w:rPr>
        <w:sz w:val="22"/>
        <w:szCs w:val="22"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5"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6"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7"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hanging="0"/>
      </w:pPr>
      <w:rPr>
        <w:sz w:val="22"/>
        <w:szCs w:val="22"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8"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hanging="0"/>
      </w:pPr>
      <w:rPr>
        <w:sz w:val="22"/>
        <w:szCs w:val="22"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"/>
    <w:lvlOverride w:ilvl="0">
      <w:startOverride w:val="1"/>
    </w:lvlOverride>
  </w:num>
  <w:num w:numId="11">
    <w:abstractNumId w:val="1"/>
    <w:lvlOverride w:ilvl="0">
      <w:startOverride w:val="1"/>
    </w:lvlOverride>
  </w:num>
  <w:num w:numId="12">
    <w:abstractNumId w:val="1"/>
  </w:num>
  <w:num w:numId="13">
    <w:abstractNumId w:val="3"/>
    <w:lvlOverride w:ilvl="0">
      <w:startOverride w:val="1"/>
    </w:lvlOverride>
  </w:num>
  <w:num w:numId="14">
    <w:abstractNumId w:val="3"/>
    <w:lvlOverride w:ilvl="0">
      <w:startOverride w:val="1"/>
    </w:lvlOverride>
  </w:num>
  <w:num w:numId="15">
    <w:abstractNumId w:val="3"/>
  </w:num>
  <w:num w:numId="16">
    <w:abstractNumId w:val="3"/>
  </w:num>
  <w:num w:numId="17">
    <w:abstractNumId w:val="5"/>
    <w:lvlOverride w:ilvl="0">
      <w:startOverride w:val="1"/>
    </w:lvlOverride>
  </w:num>
  <w:num w:numId="18">
    <w:abstractNumId w:val="5"/>
    <w:lvlOverride w:ilvl="0">
      <w:startOverride w:val="1"/>
    </w:lvlOverride>
  </w:num>
  <w:num w:numId="19">
    <w:abstractNumId w:val="5"/>
  </w:num>
  <w:num w:numId="20">
    <w:abstractNumId w:val="5"/>
  </w:num>
  <w:num w:numId="21">
    <w:abstractNumId w:val="7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endnotePr>
    <w:pos w:val="sectEnd"/>
    <w:numFmt w:val="lowerRoman"/>
    <w:endnote w:id="0"/>
    <w:endnote w:id="1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27b1b"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eastAsia="zh-CN" w:bidi="hi-IN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przypiswkocowych">
    <w:name w:val="Znaki przypisów końcowych"/>
    <w:basedOn w:val="DefaultParagraphFont"/>
    <w:uiPriority w:val="99"/>
    <w:semiHidden/>
    <w:unhideWhenUsed/>
    <w:qFormat/>
    <w:rsid w:val="00927b1b"/>
    <w:rPr>
      <w:vertAlign w:val="superscript"/>
    </w:rPr>
  </w:style>
  <w:style w:type="character" w:styleId="EndnoteReference" w:customStyle="1">
    <w:name w:val="endnote reference"/>
    <w:rsid w:val="00927b1b"/>
    <w:rPr>
      <w:vertAlign w:val="superscript"/>
    </w:rPr>
  </w:style>
  <w:style w:type="character" w:styleId="WW8Num4z0" w:customStyle="1">
    <w:name w:val="WW8Num4z0"/>
    <w:qFormat/>
    <w:rsid w:val="00927b1b"/>
    <w:rPr>
      <w:rFonts w:ascii="Calibri" w:hAnsi="Calibri" w:cs="Calibri"/>
    </w:rPr>
  </w:style>
  <w:style w:type="character" w:styleId="WW8Num4z1" w:customStyle="1">
    <w:name w:val="WW8Num4z1"/>
    <w:qFormat/>
    <w:rsid w:val="00927b1b"/>
    <w:rPr/>
  </w:style>
  <w:style w:type="character" w:styleId="WW8Num4z2" w:customStyle="1">
    <w:name w:val="WW8Num4z2"/>
    <w:qFormat/>
    <w:rsid w:val="00927b1b"/>
    <w:rPr/>
  </w:style>
  <w:style w:type="character" w:styleId="WW8Num4z3" w:customStyle="1">
    <w:name w:val="WW8Num4z3"/>
    <w:qFormat/>
    <w:rsid w:val="00927b1b"/>
    <w:rPr/>
  </w:style>
  <w:style w:type="character" w:styleId="WW8Num4z4" w:customStyle="1">
    <w:name w:val="WW8Num4z4"/>
    <w:qFormat/>
    <w:rsid w:val="00927b1b"/>
    <w:rPr/>
  </w:style>
  <w:style w:type="character" w:styleId="WW8Num4z5" w:customStyle="1">
    <w:name w:val="WW8Num4z5"/>
    <w:qFormat/>
    <w:rsid w:val="00927b1b"/>
    <w:rPr/>
  </w:style>
  <w:style w:type="character" w:styleId="WW8Num4z6" w:customStyle="1">
    <w:name w:val="WW8Num4z6"/>
    <w:qFormat/>
    <w:rsid w:val="00927b1b"/>
    <w:rPr/>
  </w:style>
  <w:style w:type="character" w:styleId="WW8Num4z7" w:customStyle="1">
    <w:name w:val="WW8Num4z7"/>
    <w:qFormat/>
    <w:rsid w:val="00927b1b"/>
    <w:rPr/>
  </w:style>
  <w:style w:type="character" w:styleId="WW8Num4z8" w:customStyle="1">
    <w:name w:val="WW8Num4z8"/>
    <w:qFormat/>
    <w:rsid w:val="00927b1b"/>
    <w:rPr/>
  </w:style>
  <w:style w:type="character" w:styleId="WW8Num5z0" w:customStyle="1">
    <w:name w:val="WW8Num5z0"/>
    <w:qFormat/>
    <w:rsid w:val="00927b1b"/>
    <w:rPr>
      <w:rFonts w:ascii="Times New Roman" w:hAnsi="Times New Roman" w:eastAsia="Times New Roman" w:cs="Times New Roman"/>
      <w:sz w:val="22"/>
      <w:szCs w:val="22"/>
    </w:rPr>
  </w:style>
  <w:style w:type="character" w:styleId="WW8Num3z0" w:customStyle="1">
    <w:name w:val="WW8Num3z0"/>
    <w:qFormat/>
    <w:rsid w:val="00927b1b"/>
    <w:rPr>
      <w:rFonts w:ascii="Times New Roman" w:hAnsi="Times New Roman" w:eastAsia="Times New Roman" w:cs="Times New Roman"/>
    </w:rPr>
  </w:style>
  <w:style w:type="character" w:styleId="WW8Num2z0" w:customStyle="1">
    <w:name w:val="WW8Num2z0"/>
    <w:qFormat/>
    <w:rsid w:val="00927b1b"/>
    <w:rPr>
      <w:rFonts w:ascii="Times New Roman" w:hAnsi="Times New Roman" w:eastAsia="Times New Roman" w:cs="Times New Roman"/>
      <w:sz w:val="22"/>
      <w:szCs w:val="22"/>
    </w:rPr>
  </w:style>
  <w:style w:type="character" w:styleId="EndnoteSymbol" w:customStyle="1">
    <w:name w:val="Endnote Symbol"/>
    <w:qFormat/>
    <w:rsid w:val="00927b1b"/>
    <w:rPr>
      <w:vertAlign w:val="superscript"/>
    </w:rPr>
  </w:style>
  <w:style w:type="character" w:styleId="WW-Znakiprzypiswkocowych" w:customStyle="1">
    <w:name w:val="WW-Znaki przypisów końcowych"/>
    <w:qFormat/>
    <w:rsid w:val="00927b1b"/>
    <w:rPr/>
  </w:style>
  <w:style w:type="character" w:styleId="FootnoteReference">
    <w:name w:val="footnote reference"/>
    <w:rPr>
      <w:vertAlign w:val="superscript"/>
    </w:rPr>
  </w:style>
  <w:style w:type="character" w:styleId="Znakiprzypiswdolnych">
    <w:name w:val="Znaki przypisów dolnych"/>
    <w:qFormat/>
    <w:rPr/>
  </w:style>
  <w:style w:type="paragraph" w:styleId="Nagwek" w:customStyle="1">
    <w:name w:val="Nagłówek"/>
    <w:basedOn w:val="Standard"/>
    <w:next w:val="Textbody"/>
    <w:qFormat/>
    <w:rsid w:val="00927b1b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unhideWhenUsed/>
    <w:rsid w:val="00927b1b"/>
    <w:pPr/>
    <w:rPr/>
  </w:style>
  <w:style w:type="paragraph" w:styleId="Caption">
    <w:name w:val="caption"/>
    <w:basedOn w:val="Standard"/>
    <w:unhideWhenUsed/>
    <w:qFormat/>
    <w:rsid w:val="00927b1b"/>
    <w:pPr>
      <w:suppressLineNumbers/>
      <w:spacing w:before="120" w:after="120"/>
    </w:pPr>
    <w:rPr>
      <w:i/>
      <w:iCs/>
    </w:rPr>
  </w:style>
  <w:style w:type="paragraph" w:styleId="Indeks" w:customStyle="1">
    <w:name w:val="Indeks"/>
    <w:basedOn w:val="Standard"/>
    <w:qFormat/>
    <w:rsid w:val="00927b1b"/>
    <w:pPr>
      <w:suppressLineNumbers/>
    </w:pPr>
    <w:rPr/>
  </w:style>
  <w:style w:type="paragraph" w:styleId="Standard" w:customStyle="1">
    <w:name w:val="Standard"/>
    <w:qFormat/>
    <w:rsid w:val="00927b1b"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eastAsia="zh-CN" w:bidi="hi-IN" w:val="pl-PL"/>
    </w:rPr>
  </w:style>
  <w:style w:type="paragraph" w:styleId="Textbody" w:customStyle="1">
    <w:name w:val="Text body"/>
    <w:basedOn w:val="Standard"/>
    <w:qFormat/>
    <w:rsid w:val="00927b1b"/>
    <w:pPr>
      <w:spacing w:lineRule="auto" w:line="276" w:before="0" w:after="140"/>
    </w:pPr>
    <w:rPr/>
  </w:style>
  <w:style w:type="paragraph" w:styleId="Zawartotabeli" w:customStyle="1">
    <w:name w:val="Zawartość tabeli"/>
    <w:basedOn w:val="Standard"/>
    <w:qFormat/>
    <w:rsid w:val="00927b1b"/>
    <w:pPr>
      <w:suppressLineNumbers/>
    </w:pPr>
    <w:rPr/>
  </w:style>
  <w:style w:type="paragraph" w:styleId="Endnote" w:customStyle="1">
    <w:name w:val="Endnote"/>
    <w:basedOn w:val="Standard"/>
    <w:qFormat/>
    <w:rsid w:val="00927b1b"/>
    <w:pPr>
      <w:suppressLineNumbers/>
      <w:ind w:hanging="339" w:left="339"/>
    </w:pPr>
    <w:rPr>
      <w:sz w:val="20"/>
      <w:szCs w:val="20"/>
    </w:rPr>
  </w:style>
  <w:style w:type="paragraph" w:styleId="NormalWeb">
    <w:name w:val="Normal (Web)"/>
    <w:basedOn w:val="Standard"/>
    <w:unhideWhenUsed/>
    <w:qFormat/>
    <w:rsid w:val="00927b1b"/>
    <w:pPr>
      <w:spacing w:before="280" w:after="119"/>
    </w:pPr>
    <w:rPr/>
  </w:style>
  <w:style w:type="paragraph" w:styleId="msonormal" w:customStyle="1">
    <w:name w:val="msonormal"/>
    <w:basedOn w:val="Standard"/>
    <w:qFormat/>
    <w:rsid w:val="00927b1b"/>
    <w:pPr>
      <w:spacing w:before="280" w:after="119"/>
    </w:pPr>
    <w:rPr/>
  </w:style>
  <w:style w:type="paragraph" w:styleId="Nagwektabeli" w:customStyle="1">
    <w:name w:val="Nagłówek tabeli"/>
    <w:basedOn w:val="Zawartotabeli"/>
    <w:qFormat/>
    <w:rsid w:val="00927b1b"/>
    <w:pPr>
      <w:jc w:val="center"/>
      <w:textAlignment w:val="baseline"/>
    </w:pPr>
    <w:rPr>
      <w:b/>
      <w:bCs/>
    </w:rPr>
  </w:style>
  <w:style w:type="paragraph" w:styleId="EndnoteText">
    <w:name w:val="endnote text"/>
    <w:basedOn w:val="Normal"/>
    <w:pPr/>
    <w:rPr/>
  </w:style>
  <w:style w:type="numbering" w:styleId="Bezlisty" w:default="1">
    <w:name w:val="Bez listy"/>
    <w:uiPriority w:val="99"/>
    <w:semiHidden/>
    <w:unhideWhenUsed/>
    <w:qFormat/>
  </w:style>
  <w:style w:type="numbering" w:styleId="WW8Num4" w:customStyle="1">
    <w:name w:val="WW8Num4"/>
    <w:qFormat/>
    <w:rsid w:val="00927b1b"/>
  </w:style>
  <w:style w:type="numbering" w:styleId="WW8Num5" w:customStyle="1">
    <w:name w:val="WW8Num5"/>
    <w:qFormat/>
    <w:rsid w:val="00927b1b"/>
  </w:style>
  <w:style w:type="numbering" w:styleId="WW8Num3" w:customStyle="1">
    <w:name w:val="WW8Num3"/>
    <w:qFormat/>
    <w:rsid w:val="00927b1b"/>
  </w:style>
  <w:style w:type="numbering" w:styleId="WW8Num2" w:customStyle="1">
    <w:name w:val="WW8Num2"/>
    <w:qFormat/>
    <w:rsid w:val="00927b1b"/>
  </w:style>
  <w:style w:type="numbering" w:styleId="Bezlisty1" w:customStyle="1">
    <w:name w:val="Bez listy1"/>
    <w:uiPriority w:val="99"/>
    <w:semiHidden/>
    <w:unhideWhenUsed/>
    <w:qFormat/>
    <w:rsid w:val="00927b1b"/>
  </w:style>
  <w:style w:type="numbering" w:styleId="WW8Num41" w:customStyle="1">
    <w:name w:val="WW8Num41"/>
    <w:qFormat/>
    <w:rsid w:val="00927b1b"/>
  </w:style>
  <w:style w:type="numbering" w:styleId="WW8Num51" w:customStyle="1">
    <w:name w:val="WW8Num51"/>
    <w:qFormat/>
    <w:rsid w:val="00927b1b"/>
  </w:style>
  <w:style w:type="numbering" w:styleId="WW8Num31" w:customStyle="1">
    <w:name w:val="WW8Num31"/>
    <w:qFormat/>
    <w:rsid w:val="00927b1b"/>
  </w:style>
  <w:style w:type="numbering" w:styleId="WW8Num21" w:customStyle="1">
    <w:name w:val="WW8Num21"/>
    <w:qFormat/>
    <w:rsid w:val="00927b1b"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endnotes" Target="end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LibreOffice/25.2.4.3$Windows_X86_64 LibreOffice_project/33e196637044ead23f5c3226cde09b47731f7e27</Application>
  <AppVersion>15.0000</AppVersion>
  <Pages>18</Pages>
  <Words>2128</Words>
  <Characters>12449</Characters>
  <CharactersWithSpaces>17651</CharactersWithSpaces>
  <Paragraphs>626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2025-01-09T10:25:00Z</dcterms:created>
  <dc:creator>Gabriela Krupa</dc:creator>
  <dc:description/>
  <dc:language>pl-PL</dc:language>
  <cp:lastModifiedBy>Gabriela Krupa</cp:lastModifiedBy>
  <cp:lastPrinted>2025-01-09T12:47:00Z</cp:lastPrinted>
  <dcterms:modified xsi:type="dcterms:W3CDTF">2025-06-27T07:08:00Z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