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Podtytu"/>
        <w:spacing w:lineRule="auto" w:line="240"/>
        <w:rPr>
          <w:rFonts w:cs="Calibri" w:cstheme="minorHAnsi"/>
          <w:color w:val="000000" w:themeColor="text1"/>
          <w:sz w:val="24"/>
          <w:szCs w:val="24"/>
        </w:rPr>
      </w:pPr>
      <w:r>
        <w:rPr>
          <w:rFonts w:cs="Calibri" w:cstheme="minorHAnsi"/>
          <w:color w:val="000000" w:themeColor="text1"/>
          <w:sz w:val="24"/>
          <w:szCs w:val="24"/>
        </w:rPr>
        <w:t xml:space="preserve"> </w:t>
      </w:r>
    </w:p>
    <w:p>
      <w:pPr>
        <w:pStyle w:val="Normal"/>
        <w:spacing w:lineRule="auto" w:line="240" w:before="0" w:after="3"/>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before="0" w:after="627"/>
        <w:ind w:left="-284" w:hanging="0"/>
        <w:jc w:val="center"/>
        <w:rPr>
          <w:rFonts w:ascii="Calibri" w:hAnsi="Calibri" w:cs="Calibri" w:asciiTheme="minorHAnsi" w:cstheme="minorHAnsi" w:hAnsiTheme="minorHAnsi"/>
          <w:color w:val="000000" w:themeColor="text1"/>
          <w:szCs w:val="24"/>
        </w:rPr>
      </w:pPr>
      <w:r>
        <w:rPr/>
        <w:drawing>
          <wp:inline distT="0" distB="0" distL="0" distR="0">
            <wp:extent cx="4396740" cy="1238250"/>
            <wp:effectExtent l="0" t="0" r="0" b="0"/>
            <wp:docPr id="2" name="Obraz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7" descr=""/>
                    <pic:cNvPicPr>
                      <a:picLocks noChangeAspect="1" noChangeArrowheads="1"/>
                    </pic:cNvPicPr>
                  </pic:nvPicPr>
                  <pic:blipFill>
                    <a:blip r:embed="rId2"/>
                    <a:stretch>
                      <a:fillRect/>
                    </a:stretch>
                  </pic:blipFill>
                  <pic:spPr bwMode="auto">
                    <a:xfrm>
                      <a:off x="0" y="0"/>
                      <a:ext cx="4396740" cy="1238250"/>
                    </a:xfrm>
                    <a:prstGeom prst="rect">
                      <a:avLst/>
                    </a:prstGeom>
                  </pic:spPr>
                </pic:pic>
              </a:graphicData>
            </a:graphic>
          </wp:inline>
        </w:drawing>
        <mc:AlternateContent>
          <mc:Choice Requires="wpg">
            <w:drawing>
              <wp:anchor behindDoc="1" distT="0" distB="0" distL="0" distR="0" simplePos="0" locked="0" layoutInCell="1" allowOverlap="1" relativeHeight="37" wp14:anchorId="01638F00">
                <wp:simplePos x="0" y="0"/>
                <wp:positionH relativeFrom="column">
                  <wp:posOffset>4029710</wp:posOffset>
                </wp:positionH>
                <wp:positionV relativeFrom="paragraph">
                  <wp:posOffset>1151890</wp:posOffset>
                </wp:positionV>
                <wp:extent cx="2767965" cy="8681085"/>
                <wp:effectExtent l="57150" t="57150" r="53340" b="45085"/>
                <wp:wrapNone/>
                <wp:docPr id="1" name="Grupa 36"/>
                <a:graphic xmlns:a="http://schemas.openxmlformats.org/drawingml/2006/main">
                  <a:graphicData uri="http://schemas.microsoft.com/office/word/2010/wordprocessingGroup">
                    <wpg:wgp>
                      <wpg:cNvGrpSpPr/>
                      <wpg:grpSpPr>
                        <a:xfrm>
                          <a:off x="0" y="0"/>
                          <a:ext cx="2767320" cy="8680320"/>
                        </a:xfrm>
                      </wpg:grpSpPr>
                      <wps:wsp>
                        <wps:cNvSpPr/>
                        <wps:spPr>
                          <a:xfrm>
                            <a:off x="542880" y="5577120"/>
                            <a:ext cx="525240" cy="1941840"/>
                          </a:xfrm>
                          <a:custGeom>
                            <a:avLst/>
                            <a:gdLst/>
                            <a:ahLst/>
                            <a:rect l="l" t="t"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fdcd51"/>
                          </a:solidFill>
                          <a:ln>
                            <a:solidFill>
                              <a:srgbClr val="fdcd51"/>
                            </a:solidFill>
                          </a:ln>
                        </wps:spPr>
                        <wps:style>
                          <a:lnRef idx="0"/>
                          <a:fillRef idx="0"/>
                          <a:effectRef idx="0"/>
                          <a:fontRef idx="minor"/>
                        </wps:style>
                        <wps:bodyPr/>
                      </wps:wsp>
                      <wps:wsp>
                        <wps:cNvSpPr/>
                        <wps:spPr>
                          <a:xfrm>
                            <a:off x="1095480" y="7493760"/>
                            <a:ext cx="498960" cy="1186200"/>
                          </a:xfrm>
                          <a:custGeom>
                            <a:avLst/>
                            <a:gdLst/>
                            <a:ahLst/>
                            <a:rect l="l" t="t"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fdcd51"/>
                          </a:solidFill>
                          <a:ln>
                            <a:solidFill>
                              <a:srgbClr val="fdcd51"/>
                            </a:solidFill>
                          </a:ln>
                        </wps:spPr>
                        <wps:style>
                          <a:lnRef idx="0"/>
                          <a:fillRef idx="0"/>
                          <a:effectRef idx="0"/>
                          <a:fontRef idx="minor"/>
                        </wps:style>
                        <wps:bodyPr/>
                      </wps:wsp>
                      <wps:wsp>
                        <wps:cNvSpPr/>
                        <wps:spPr>
                          <a:xfrm>
                            <a:off x="0" y="0"/>
                            <a:ext cx="524520" cy="5615280"/>
                          </a:xfrm>
                          <a:custGeom>
                            <a:avLst/>
                            <a:gdLst/>
                            <a:ahLst/>
                            <a:rect l="l" t="t"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fdcd51"/>
                          </a:solidFill>
                          <a:ln>
                            <a:solidFill>
                              <a:srgbClr val="fdcd51"/>
                            </a:solidFill>
                          </a:ln>
                        </wps:spPr>
                        <wps:style>
                          <a:lnRef idx="0"/>
                          <a:fillRef idx="0"/>
                          <a:effectRef idx="0"/>
                          <a:fontRef idx="minor"/>
                        </wps:style>
                        <wps:bodyPr/>
                      </wps:wsp>
                      <wps:wsp>
                        <wps:cNvSpPr/>
                        <wps:spPr>
                          <a:xfrm>
                            <a:off x="465480" y="1806120"/>
                            <a:ext cx="192240" cy="3769920"/>
                          </a:xfrm>
                          <a:custGeom>
                            <a:avLst/>
                            <a:gdLst/>
                            <a:ahLst/>
                            <a:rect l="l" t="t"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85cff6"/>
                          </a:solidFill>
                          <a:ln>
                            <a:solidFill>
                              <a:srgbClr val="85cff6"/>
                            </a:solidFill>
                          </a:ln>
                        </wps:spPr>
                        <wps:style>
                          <a:lnRef idx="0"/>
                          <a:fillRef idx="0"/>
                          <a:effectRef idx="0"/>
                          <a:fontRef idx="minor"/>
                        </wps:style>
                        <wps:bodyPr/>
                      </wps:wsp>
                      <wps:wsp>
                        <wps:cNvSpPr/>
                        <wps:spPr>
                          <a:xfrm>
                            <a:off x="525960" y="5616720"/>
                            <a:ext cx="663120" cy="2776320"/>
                          </a:xfrm>
                          <a:custGeom>
                            <a:avLst/>
                            <a:gdLst/>
                            <a:ahLst/>
                            <a:rect l="l" t="t"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85cff6"/>
                          </a:solidFill>
                          <a:ln>
                            <a:solidFill>
                              <a:srgbClr val="85cff6"/>
                            </a:solidFill>
                          </a:ln>
                        </wps:spPr>
                        <wps:style>
                          <a:lnRef idx="0"/>
                          <a:fillRef idx="0"/>
                          <a:effectRef idx="0"/>
                          <a:fontRef idx="minor"/>
                        </wps:style>
                        <wps:bodyPr/>
                      </wps:wsp>
                      <wps:wsp>
                        <wps:cNvSpPr/>
                        <wps:spPr>
                          <a:xfrm>
                            <a:off x="1224360" y="8376840"/>
                            <a:ext cx="141120" cy="303480"/>
                          </a:xfrm>
                          <a:custGeom>
                            <a:avLst/>
                            <a:gdLst/>
                            <a:ahLst/>
                            <a:rect l="l" t="t" r="r" b="b"/>
                            <a:pathLst>
                              <a:path w="33" h="69">
                                <a:moveTo>
                                  <a:pt x="0" y="0"/>
                                </a:moveTo>
                                <a:lnTo>
                                  <a:pt x="33" y="69"/>
                                </a:lnTo>
                                <a:lnTo>
                                  <a:pt x="24" y="69"/>
                                </a:lnTo>
                                <a:lnTo>
                                  <a:pt x="12" y="35"/>
                                </a:lnTo>
                                <a:lnTo>
                                  <a:pt x="0" y="0"/>
                                </a:lnTo>
                                <a:close/>
                              </a:path>
                            </a:pathLst>
                          </a:custGeom>
                          <a:solidFill>
                            <a:srgbClr val="85cff6"/>
                          </a:solidFill>
                          <a:ln>
                            <a:solidFill>
                              <a:srgbClr val="85cff6"/>
                            </a:solidFill>
                          </a:ln>
                        </wps:spPr>
                        <wps:style>
                          <a:lnRef idx="0"/>
                          <a:fillRef idx="0"/>
                          <a:effectRef idx="0"/>
                          <a:fontRef idx="minor"/>
                        </wps:style>
                        <wps:bodyPr/>
                      </wps:wsp>
                      <wps:wsp>
                        <wps:cNvSpPr/>
                        <wps:spPr>
                          <a:xfrm>
                            <a:off x="504360" y="5400000"/>
                            <a:ext cx="63360" cy="409680"/>
                          </a:xfrm>
                          <a:custGeom>
                            <a:avLst/>
                            <a:gdLst/>
                            <a:ahLst/>
                            <a:rect l="l" t="t" r="r" b="b"/>
                            <a:pathLst>
                              <a:path w="15" h="93">
                                <a:moveTo>
                                  <a:pt x="0" y="0"/>
                                </a:moveTo>
                                <a:lnTo>
                                  <a:pt x="9" y="37"/>
                                </a:lnTo>
                                <a:lnTo>
                                  <a:pt x="9" y="40"/>
                                </a:lnTo>
                                <a:lnTo>
                                  <a:pt x="15" y="93"/>
                                </a:lnTo>
                                <a:lnTo>
                                  <a:pt x="5" y="49"/>
                                </a:lnTo>
                                <a:lnTo>
                                  <a:pt x="0" y="0"/>
                                </a:lnTo>
                                <a:close/>
                              </a:path>
                            </a:pathLst>
                          </a:custGeom>
                          <a:solidFill>
                            <a:srgbClr val="85cff6"/>
                          </a:solidFill>
                          <a:ln>
                            <a:solidFill>
                              <a:srgbClr val="85cff6"/>
                            </a:solidFill>
                          </a:ln>
                        </wps:spPr>
                        <wps:style>
                          <a:lnRef idx="0"/>
                          <a:fillRef idx="0"/>
                          <a:effectRef idx="0"/>
                          <a:fontRef idx="minor"/>
                        </wps:style>
                        <wps:bodyPr/>
                      </wps:wsp>
                      <wps:wsp>
                        <wps:cNvSpPr/>
                        <wps:spPr>
                          <a:xfrm>
                            <a:off x="1069200" y="4110840"/>
                            <a:ext cx="1698120" cy="3381480"/>
                          </a:xfrm>
                          <a:custGeom>
                            <a:avLst/>
                            <a:gdLst/>
                            <a:ahLst/>
                            <a:rect l="l" t="t"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67d55c"/>
                          </a:solidFill>
                          <a:ln>
                            <a:solidFill>
                              <a:srgbClr val="67d55c"/>
                            </a:solidFill>
                          </a:ln>
                        </wps:spPr>
                        <wps:style>
                          <a:lnRef idx="0"/>
                          <a:fillRef idx="0"/>
                          <a:effectRef idx="0"/>
                          <a:fontRef idx="minor"/>
                        </wps:style>
                        <wps:bodyPr/>
                      </wps:wsp>
                      <wps:wsp>
                        <wps:cNvSpPr/>
                        <wps:spPr>
                          <a:xfrm>
                            <a:off x="1069200" y="7520400"/>
                            <a:ext cx="153720" cy="855360"/>
                          </a:xfrm>
                          <a:custGeom>
                            <a:avLst/>
                            <a:gdLst/>
                            <a:ahLst/>
                            <a:rect l="l" t="t"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67d55c"/>
                          </a:solidFill>
                          <a:ln>
                            <a:solidFill>
                              <a:srgbClr val="67d55c"/>
                            </a:solidFill>
                          </a:ln>
                        </wps:spPr>
                        <wps:style>
                          <a:lnRef idx="0"/>
                          <a:fillRef idx="0"/>
                          <a:effectRef idx="0"/>
                          <a:fontRef idx="minor"/>
                        </wps:style>
                        <wps:bodyPr/>
                      </wps:wsp>
                      <wps:wsp>
                        <wps:cNvSpPr/>
                        <wps:spPr>
                          <a:xfrm>
                            <a:off x="1190160" y="8394120"/>
                            <a:ext cx="132120" cy="285840"/>
                          </a:xfrm>
                          <a:custGeom>
                            <a:avLst/>
                            <a:gdLst/>
                            <a:ahLst/>
                            <a:rect l="l" t="t" r="r" b="b"/>
                            <a:pathLst>
                              <a:path w="31" h="65">
                                <a:moveTo>
                                  <a:pt x="0" y="0"/>
                                </a:moveTo>
                                <a:lnTo>
                                  <a:pt x="31" y="65"/>
                                </a:lnTo>
                                <a:lnTo>
                                  <a:pt x="23" y="65"/>
                                </a:lnTo>
                                <a:lnTo>
                                  <a:pt x="0" y="0"/>
                                </a:lnTo>
                                <a:close/>
                              </a:path>
                            </a:pathLst>
                          </a:custGeom>
                          <a:solidFill>
                            <a:srgbClr val="67d55c"/>
                          </a:solidFill>
                          <a:ln>
                            <a:solidFill>
                              <a:srgbClr val="67d55c"/>
                            </a:solidFill>
                          </a:ln>
                        </wps:spPr>
                        <wps:style>
                          <a:lnRef idx="0"/>
                          <a:fillRef idx="0"/>
                          <a:effectRef idx="0"/>
                          <a:fontRef idx="minor"/>
                        </wps:style>
                        <wps:bodyPr/>
                      </wps:wsp>
                      <wps:wsp>
                        <wps:cNvSpPr/>
                        <wps:spPr>
                          <a:xfrm>
                            <a:off x="1069200" y="7418880"/>
                            <a:ext cx="29160" cy="184320"/>
                          </a:xfrm>
                          <a:custGeom>
                            <a:avLst/>
                            <a:gdLst/>
                            <a:ahLst/>
                            <a:rect l="l" t="t" r="r" b="b"/>
                            <a:pathLst>
                              <a:path w="7" h="42">
                                <a:moveTo>
                                  <a:pt x="0" y="0"/>
                                </a:moveTo>
                                <a:lnTo>
                                  <a:pt x="6" y="17"/>
                                </a:lnTo>
                                <a:lnTo>
                                  <a:pt x="7" y="42"/>
                                </a:lnTo>
                                <a:lnTo>
                                  <a:pt x="6" y="39"/>
                                </a:lnTo>
                                <a:lnTo>
                                  <a:pt x="0" y="23"/>
                                </a:lnTo>
                                <a:lnTo>
                                  <a:pt x="0" y="0"/>
                                </a:lnTo>
                                <a:close/>
                              </a:path>
                            </a:pathLst>
                          </a:custGeom>
                          <a:solidFill>
                            <a:srgbClr val="fdcd51"/>
                          </a:solidFill>
                          <a:ln>
                            <a:solidFill>
                              <a:srgbClr val="fdcd51"/>
                            </a:solidFill>
                          </a:ln>
                        </wps:spPr>
                        <wps:style>
                          <a:lnRef idx="0"/>
                          <a:fillRef idx="0"/>
                          <a:effectRef idx="0"/>
                          <a:fontRef idx="minor"/>
                        </wps:style>
                        <wps:bodyPr/>
                      </wps:wsp>
                      <wps:wsp>
                        <wps:cNvSpPr/>
                        <wps:spPr>
                          <a:xfrm>
                            <a:off x="1134000" y="8160480"/>
                            <a:ext cx="192240" cy="519480"/>
                          </a:xfrm>
                          <a:custGeom>
                            <a:avLst/>
                            <a:gdLst/>
                            <a:ahLst/>
                            <a:rect l="l" t="t"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67d55c"/>
                          </a:solidFill>
                          <a:ln>
                            <a:solidFill>
                              <a:srgbClr val="67d55c"/>
                            </a:solidFill>
                          </a:ln>
                        </wps:spPr>
                        <wps:style>
                          <a:lnRef idx="0"/>
                          <a:fillRef idx="0"/>
                          <a:effectRef idx="0"/>
                          <a:fontRef idx="minor"/>
                        </wps:style>
                        <wps:bodyPr/>
                      </wps:wsp>
                    </wpg:wgp>
                  </a:graphicData>
                </a:graphic>
              </wp:anchor>
            </w:drawing>
          </mc:Choice>
          <mc:Fallback>
            <w:pict>
              <v:group id="shape_0" alt="Grupa 36" style="position:absolute;margin-left:317.3pt;margin-top:90.7pt;width:217.9pt;height:683.5pt" coordorigin="6346,1814" coordsize="4358,13670"/>
            </w:pict>
          </mc:Fallback>
        </mc:AlternateContent>
      </w:r>
    </w:p>
    <w:p>
      <w:pPr>
        <w:pStyle w:val="Normal"/>
        <w:spacing w:lineRule="auto" w:line="240" w:before="0" w:after="0"/>
        <w:ind w:left="-284" w:hanging="0"/>
        <w:jc w:val="center"/>
        <w:rPr>
          <w:rFonts w:ascii="Book Antiqua" w:hAnsi="Book Antiqua" w:cs="Calibri" w:cstheme="minorHAnsi"/>
          <w:color w:val="000000" w:themeColor="text1"/>
          <w:sz w:val="40"/>
          <w:szCs w:val="40"/>
        </w:rPr>
      </w:pPr>
      <w:r>
        <w:rPr>
          <w:rFonts w:cs="Calibri" w:ascii="Book Antiqua" w:hAnsi="Book Antiqua" w:cstheme="minorHAnsi"/>
          <w:color w:val="000000" w:themeColor="text1"/>
          <w:sz w:val="40"/>
          <w:szCs w:val="40"/>
        </w:rPr>
        <w:t xml:space="preserve">Karta Informacyjna Przedsięwzięcia </w:t>
      </w:r>
    </w:p>
    <w:p>
      <w:pPr>
        <w:pStyle w:val="Normal"/>
        <w:spacing w:lineRule="auto" w:line="240" w:before="0" w:after="516"/>
        <w:ind w:left="-284" w:hanging="0"/>
        <w:jc w:val="left"/>
        <w:rPr>
          <w:rFonts w:ascii="Calibri" w:hAnsi="Calibri" w:cs="Calibri" w:asciiTheme="minorHAnsi" w:cstheme="minorHAnsi" w:hAnsiTheme="minorHAnsi"/>
          <w:color w:val="000000" w:themeColor="text1"/>
          <w:sz w:val="28"/>
          <w:szCs w:val="28"/>
        </w:rPr>
      </w:pPr>
      <w:r>
        <w:rPr>
          <w:rFonts w:cs="Calibri" w:cstheme="minorHAnsi"/>
          <w:color w:val="000000" w:themeColor="text1"/>
          <w:sz w:val="28"/>
          <w:szCs w:val="28"/>
        </w:rPr>
      </w:r>
    </w:p>
    <w:p>
      <w:pPr>
        <w:pStyle w:val="Normal"/>
        <w:spacing w:lineRule="auto" w:line="240" w:before="0" w:after="516"/>
        <w:ind w:left="-284" w:hanging="0"/>
        <w:rPr>
          <w:rFonts w:ascii="Calibri" w:hAnsi="Calibri" w:cs="Calibri" w:asciiTheme="minorHAnsi" w:cstheme="minorHAnsi" w:hAnsiTheme="minorHAnsi"/>
          <w:color w:val="000000" w:themeColor="text1"/>
          <w:sz w:val="28"/>
          <w:szCs w:val="28"/>
        </w:rPr>
      </w:pPr>
      <w:r>
        <w:rPr>
          <w:rFonts w:cs="Calibri" w:cstheme="minorHAnsi"/>
          <w:i/>
          <w:color w:val="000000" w:themeColor="text1"/>
          <w:sz w:val="28"/>
          <w:szCs w:val="28"/>
        </w:rPr>
        <w:t>„</w:t>
      </w:r>
      <w:bookmarkStart w:id="0" w:name="_Hlk114478543"/>
      <w:bookmarkStart w:id="1" w:name="_Hlk105670909"/>
      <w:r>
        <w:rPr>
          <w:rFonts w:cs="Calibri" w:cstheme="minorHAnsi"/>
          <w:color w:val="000000" w:themeColor="text1"/>
          <w:sz w:val="28"/>
          <w:szCs w:val="28"/>
        </w:rPr>
        <w:t xml:space="preserve">Budowa farmy fotowoltaicznej o mocy do 8 MW wraz z infrastrukturą techniczną </w:t>
      </w:r>
      <w:bookmarkEnd w:id="1"/>
      <w:r>
        <w:rPr>
          <w:rFonts w:cs="Calibri" w:cstheme="minorHAnsi"/>
          <w:color w:val="000000" w:themeColor="text1"/>
          <w:sz w:val="28"/>
          <w:szCs w:val="28"/>
        </w:rPr>
        <w:t xml:space="preserve">na działkach o nr ewid. </w:t>
      </w:r>
      <w:bookmarkStart w:id="2" w:name="_Hlk118971517"/>
      <w:bookmarkEnd w:id="0"/>
      <w:r>
        <w:rPr>
          <w:rFonts w:cs="Calibri" w:cstheme="minorHAnsi"/>
          <w:color w:val="000000" w:themeColor="text1"/>
          <w:sz w:val="28"/>
          <w:szCs w:val="28"/>
        </w:rPr>
        <w:t xml:space="preserve">157, 158/1, 158/2, 159, 160  obręb </w:t>
      </w:r>
      <w:bookmarkEnd w:id="2"/>
      <w:r>
        <w:rPr>
          <w:rFonts w:cs="Calibri" w:cstheme="minorHAnsi"/>
          <w:color w:val="000000" w:themeColor="text1"/>
          <w:sz w:val="28"/>
          <w:szCs w:val="28"/>
        </w:rPr>
        <w:t xml:space="preserve">Szczukocice Wieś”, zgodnie z art. 62a ustawy z dnia 3 października 2008 r. o udostępnianiu informacji o środowisku i jego ochronie, udziale społeczeństwa w ochronie środowiska oraz o ocenach oddziaływania na środowisko (Dz. U. 2022 poz. 1029). </w:t>
      </w:r>
    </w:p>
    <w:p>
      <w:pPr>
        <w:pStyle w:val="Normal"/>
        <w:spacing w:lineRule="auto" w:line="240" w:before="0" w:after="469"/>
        <w:ind w:left="-284" w:hanging="0"/>
        <w:jc w:val="left"/>
        <w:rPr>
          <w:rFonts w:ascii="Calibri" w:hAnsi="Calibri" w:cs="Calibri" w:asciiTheme="minorHAnsi" w:cstheme="minorHAnsi" w:hAnsiTheme="minorHAnsi"/>
          <w:color w:val="000000" w:themeColor="text1"/>
          <w:sz w:val="28"/>
          <w:szCs w:val="28"/>
        </w:rPr>
      </w:pPr>
      <w:r>
        <w:rPr>
          <w:rFonts w:cs="Calibri" w:cstheme="minorHAnsi"/>
          <w:color w:val="000000" w:themeColor="text1"/>
          <w:sz w:val="28"/>
          <w:szCs w:val="28"/>
        </w:rPr>
        <w:tab/>
        <w:t xml:space="preserve"> </w:t>
        <w:tab/>
        <w:t xml:space="preserve"> </w:t>
      </w:r>
    </w:p>
    <w:p>
      <w:pPr>
        <w:pStyle w:val="Normal"/>
        <w:tabs>
          <w:tab w:val="clear" w:pos="708"/>
          <w:tab w:val="center" w:pos="7371" w:leader="none"/>
        </w:tabs>
        <w:spacing w:lineRule="auto" w:line="240" w:before="0" w:after="0"/>
        <w:ind w:left="-284" w:firstLine="1418"/>
        <w:jc w:val="left"/>
        <w:rPr>
          <w:rFonts w:ascii="Calibri" w:hAnsi="Calibri" w:cs="Calibri" w:asciiTheme="minorHAnsi" w:cstheme="minorHAnsi" w:hAnsiTheme="minorHAnsi"/>
          <w:color w:val="000000" w:themeColor="text1"/>
          <w:sz w:val="28"/>
          <w:szCs w:val="28"/>
          <w:lang w:val="en-US"/>
        </w:rPr>
      </w:pPr>
      <w:r>
        <w:rPr>
          <w:rFonts w:cs="Calibri" w:cstheme="minorHAnsi"/>
          <w:color w:val="000000" w:themeColor="text1"/>
          <w:sz w:val="28"/>
          <w:szCs w:val="28"/>
          <w:lang w:val="en-US"/>
        </w:rPr>
        <w:t xml:space="preserve">                                                  </w:t>
      </w:r>
      <w:r>
        <w:rPr>
          <w:rFonts w:cs="Calibri" w:cstheme="minorHAnsi"/>
          <w:color w:val="000000" w:themeColor="text1"/>
          <w:sz w:val="28"/>
          <w:szCs w:val="28"/>
          <w:lang w:val="en-US"/>
        </w:rPr>
        <w:t xml:space="preserve">INWESTOR: </w:t>
      </w:r>
    </w:p>
    <w:p>
      <w:pPr>
        <w:pStyle w:val="Normal"/>
        <w:tabs>
          <w:tab w:val="clear" w:pos="708"/>
          <w:tab w:val="center" w:pos="7371" w:leader="none"/>
        </w:tabs>
        <w:spacing w:lineRule="auto" w:line="240" w:before="0" w:after="0"/>
        <w:ind w:left="4248" w:firstLine="5"/>
        <w:jc w:val="left"/>
        <w:rPr>
          <w:rFonts w:ascii="Calibri" w:hAnsi="Calibri" w:cs="Calibri" w:asciiTheme="minorHAnsi" w:cstheme="minorHAnsi" w:hAnsiTheme="minorHAnsi"/>
          <w:color w:val="000000" w:themeColor="text1"/>
          <w:sz w:val="28"/>
          <w:szCs w:val="28"/>
        </w:rPr>
      </w:pPr>
      <w:r>
        <w:rPr>
          <w:rFonts w:cs="Calibri" w:cstheme="minorHAnsi"/>
          <w:color w:val="000000" w:themeColor="text1"/>
          <w:sz w:val="28"/>
          <w:szCs w:val="28"/>
          <w:lang w:val="en-US"/>
        </w:rPr>
        <w:t xml:space="preserve">Standard Power Development Sp. z o.o.   Sp. k.                    </w:t>
      </w:r>
      <w:r>
        <w:rPr>
          <w:rFonts w:cs="Calibri" w:cstheme="minorHAnsi"/>
          <w:color w:val="000000" w:themeColor="text1"/>
          <w:sz w:val="28"/>
          <w:szCs w:val="28"/>
        </w:rPr>
        <w:t>ul. Jana Dekerta 18, 30 – 703 Kraków</w:t>
      </w:r>
    </w:p>
    <w:p>
      <w:pPr>
        <w:pStyle w:val="Normal"/>
        <w:tabs>
          <w:tab w:val="clear" w:pos="708"/>
          <w:tab w:val="center" w:pos="7371" w:leader="none"/>
        </w:tabs>
        <w:spacing w:lineRule="auto" w:line="240" w:before="0" w:after="0"/>
        <w:ind w:left="-284" w:firstLine="4537"/>
        <w:jc w:val="left"/>
        <w:rPr>
          <w:rFonts w:ascii="Calibri" w:hAnsi="Calibri" w:cs="Calibri" w:asciiTheme="minorHAnsi" w:cstheme="minorHAnsi" w:hAnsiTheme="minorHAnsi"/>
          <w:color w:val="000000" w:themeColor="text1"/>
          <w:szCs w:val="24"/>
        </w:rPr>
      </w:pPr>
      <w:bookmarkStart w:id="3" w:name="_Toc510016379"/>
      <w:bookmarkStart w:id="4" w:name="_Toc514920587"/>
      <w:bookmarkStart w:id="5" w:name="_Toc523835870"/>
      <w:bookmarkStart w:id="6" w:name="_Toc529872086"/>
      <w:bookmarkStart w:id="7" w:name="_Toc3971886"/>
      <w:r>
        <w:rPr>
          <w:rFonts w:cs="Calibri" w:cstheme="minorHAnsi"/>
          <w:color w:val="000000" w:themeColor="text1"/>
          <w:szCs w:val="24"/>
        </w:rPr>
        <w:br/>
      </w:r>
      <w:bookmarkEnd w:id="3"/>
      <w:bookmarkEnd w:id="4"/>
      <w:bookmarkEnd w:id="5"/>
      <w:bookmarkEnd w:id="6"/>
      <w:bookmarkEnd w:id="7"/>
    </w:p>
    <w:p>
      <w:pPr>
        <w:pStyle w:val="Normal"/>
        <w:tabs>
          <w:tab w:val="clear" w:pos="708"/>
          <w:tab w:val="center" w:pos="7371" w:leader="none"/>
        </w:tabs>
        <w:spacing w:lineRule="auto" w:line="240" w:before="0" w:after="0"/>
        <w:ind w:left="-284" w:firstLine="4537"/>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tabs>
          <w:tab w:val="clear" w:pos="708"/>
          <w:tab w:val="center" w:pos="7371" w:leader="none"/>
        </w:tabs>
        <w:spacing w:lineRule="auto" w:line="240" w:before="0" w:after="0"/>
        <w:ind w:left="-284" w:firstLine="4537"/>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tabs>
          <w:tab w:val="clear" w:pos="708"/>
          <w:tab w:val="center" w:pos="7371" w:leader="none"/>
        </w:tabs>
        <w:spacing w:lineRule="auto" w:line="240" w:before="0" w:after="0"/>
        <w:ind w:left="-284" w:firstLine="4537"/>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Opracowali: </w:t>
      </w:r>
    </w:p>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Kierownik Zespołu mgr inż. Weronika Hebda</w:t>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mgr inż. Patrycja Wojarska</w:t>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tab/>
        <w:tab/>
        <w:tab/>
        <w:tab/>
        <w:tab/>
        <w:tab/>
      </w:r>
    </w:p>
    <w:p>
      <w:pPr>
        <w:pStyle w:val="Normal"/>
        <w:spacing w:lineRule="auto" w:line="240" w:before="0" w:after="0"/>
        <w:ind w:left="2832" w:firstLine="708"/>
        <w:rPr>
          <w:rFonts w:ascii="Calibri" w:hAnsi="Calibri" w:cs="Calibri" w:asciiTheme="minorHAnsi" w:cstheme="minorHAnsi" w:hAnsiTheme="minorHAnsi"/>
          <w:color w:val="000000" w:themeColor="text1"/>
          <w:szCs w:val="24"/>
        </w:rPr>
      </w:pPr>
      <w:r>
        <w:rPr>
          <w:rFonts w:cs="Calibri" w:cstheme="minorHAnsi"/>
          <w:color w:val="000000" w:themeColor="text1"/>
          <w:szCs w:val="24"/>
        </w:rPr>
        <w:t>Kraków, dn. 08.12.2022 r.</w:t>
      </w:r>
    </w:p>
    <w:sdt>
      <w:sdtPr>
        <w:docPartObj>
          <w:docPartGallery w:val="Table of Contents"/>
          <w:docPartUnique w:val="true"/>
        </w:docPartObj>
      </w:sdtPr>
      <w:sdtContent>
        <w:p>
          <w:pPr>
            <w:pStyle w:val="Normal"/>
            <w:rPr/>
          </w:pPr>
          <w:r>
            <w:rPr>
              <w:rFonts w:cs="Calibri" w:cstheme="minorHAnsi"/>
              <w:color w:val="000000" w:themeColor="text1"/>
              <w:sz w:val="24"/>
              <w:szCs w:val="24"/>
            </w:rPr>
            <w:t>Spis treśc</w:t>
          </w:r>
        </w:p>
        <w:p>
          <w:pPr>
            <w:pStyle w:val="TOCHeading"/>
            <w:spacing w:lineRule="auto" w:line="240"/>
            <w:ind w:left="-284" w:right="0" w:hanging="0"/>
            <w:rPr/>
          </w:pPr>
          <w:r>
            <w:fldChar w:fldCharType="begin"/>
          </w:r>
          <w:r>
            <w:rPr>
              <w:sz w:val="24"/>
              <w:szCs w:val="24"/>
              <w:rFonts w:cs="Calibri" w:ascii="Calibri" w:hAnsi="Calibri"/>
            </w:rPr>
            <w:instrText> TOC \z \o "1-3" \u \h</w:instrText>
          </w:r>
          <w:r>
            <w:rPr>
              <w:sz w:val="24"/>
              <w:szCs w:val="24"/>
              <w:rFonts w:cs="Calibri" w:ascii="Calibri" w:hAnsi="Calibri"/>
            </w:rPr>
            <w:fldChar w:fldCharType="separate"/>
          </w:r>
          <w:r>
            <w:rPr>
              <w:rFonts w:cs="Calibri" w:ascii="Calibri" w:hAnsi="Calibri" w:asciiTheme="minorHAnsi" w:cstheme="minorHAnsi" w:hAnsiTheme="minorHAnsi"/>
              <w:color w:val="000000" w:themeColor="text1"/>
              <w:sz w:val="24"/>
              <w:szCs w:val="24"/>
            </w:rPr>
            <w:t>i</w:t>
          </w:r>
          <w:r>
            <w:rPr>
              <w:sz w:val="24"/>
              <w:szCs w:val="24"/>
              <w:rFonts w:cs="Calibri" w:ascii="Calibri" w:hAnsi="Calibri"/>
            </w:rPr>
            <w:fldChar w:fldCharType="end"/>
          </w:r>
        </w:p>
      </w:sdtContent>
    </w:sdt>
    <w:p>
      <w:pPr>
        <w:pStyle w:val="Spistreci1"/>
        <w:tabs>
          <w:tab w:val="left" w:pos="440" w:leader="none"/>
          <w:tab w:val="right" w:pos="9788" w:leader="dot"/>
        </w:tabs>
        <w:spacing w:before="0" w:after="100"/>
        <w:ind w:left="0" w:hanging="0"/>
        <w:rPr>
          <w:rFonts w:ascii="Calibri" w:hAnsi="Calibri" w:eastAsia="" w:cs="" w:asciiTheme="minorHAnsi" w:cstheme="minorBidi" w:eastAsiaTheme="minorEastAsia" w:hAnsiTheme="minorHAnsi"/>
          <w:color w:val="auto"/>
          <w:sz w:val="22"/>
        </w:rPr>
      </w:pPr>
      <w:hyperlink w:anchor="_Toc121388973">
        <w:r>
          <w:rPr>
            <w:rStyle w:val="Czeindeksu"/>
          </w:rPr>
          <w:t>1.</w:t>
        </w:r>
        <w:r>
          <w:rPr>
            <w:rStyle w:val="Czeindeksu"/>
            <w:rFonts w:eastAsia="" w:cs="" w:cstheme="minorBidi" w:eastAsiaTheme="minorEastAsia"/>
            <w:color w:val="auto"/>
            <w:sz w:val="22"/>
          </w:rPr>
          <w:tab/>
        </w:r>
        <w:r>
          <w:rPr>
            <w:rStyle w:val="Czeindeksu"/>
            <w:shd w:fill="FFFFFF" w:val="clear"/>
          </w:rPr>
          <w:t>Wstęp</w:t>
        </w:r>
        <w:r>
          <w:rPr>
            <w:webHidden/>
          </w:rPr>
          <w:fldChar w:fldCharType="begin"/>
        </w:r>
        <w:r>
          <w:rPr>
            <w:webHidden/>
          </w:rPr>
          <w:instrText>PAGEREF _Toc121388973 \h</w:instrText>
        </w:r>
        <w:r>
          <w:rPr>
            <w:webHidden/>
          </w:rPr>
          <w:fldChar w:fldCharType="separate"/>
        </w:r>
        <w:r>
          <w:rPr>
            <w:rStyle w:val="ListLabel235"/>
            <w:vanish/>
          </w:rPr>
          <w:fldChar w:fldCharType="begin"/>
        </w:r>
        <w:r>
          <w:rPr>
            <w:webHidden/>
          </w:rPr>
          <w:fldChar w:fldCharType="end"/>
        </w:r>
        <w:r>
          <w:rPr>
            <w:rStyle w:val="ListLabel235"/>
            <w:vanish/>
          </w:rPr>
          <w:instrText> PAGEREF _Toc121388973 \h </w:instrText>
        </w:r>
        <w:r>
          <w:rPr>
            <w:rStyle w:val="ListLabel235"/>
            <w:vanish/>
          </w:rPr>
          <w:fldChar w:fldCharType="separate"/>
        </w:r>
        <w:r>
          <w:rPr>
            <w:rStyle w:val="ListLabel235"/>
            <w:vanish/>
          </w:rPr>
          <w:t>3</w:t>
        </w:r>
        <w:r>
          <w:rPr>
            <w:rStyle w:val="ListLabel235"/>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74">
        <w:r>
          <w:rPr>
            <w:rStyle w:val="Czeindeksu"/>
            <w:rFonts w:cs="Calibri" w:cstheme="minorHAnsi"/>
          </w:rPr>
          <w:t>2.</w:t>
        </w:r>
        <w:r>
          <w:rPr>
            <w:rStyle w:val="Czeindeksu"/>
            <w:rFonts w:eastAsia="" w:cs="" w:cstheme="minorBidi" w:eastAsiaTheme="minorEastAsia"/>
            <w:color w:val="auto"/>
            <w:sz w:val="22"/>
          </w:rPr>
          <w:tab/>
        </w:r>
        <w:r>
          <w:rPr>
            <w:rStyle w:val="Czeindeksu"/>
            <w:rFonts w:cs="Calibri" w:cstheme="minorHAnsi"/>
            <w:shd w:fill="FFFFFF" w:val="clear"/>
          </w:rPr>
          <w:t xml:space="preserve">Rodzaju, cechy, skala i </w:t>
        </w:r>
        <w:r>
          <w:rPr>
            <w:rStyle w:val="Czeindeksu"/>
            <w:rFonts w:cs="Calibri" w:cstheme="minorHAnsi"/>
          </w:rPr>
          <w:t>usytuowanie</w:t>
        </w:r>
        <w:r>
          <w:rPr>
            <w:rStyle w:val="Czeindeksu"/>
            <w:rFonts w:cs="Calibri" w:cstheme="minorHAnsi"/>
            <w:shd w:fill="FFFFFF" w:val="clear"/>
          </w:rPr>
          <w:t xml:space="preserve"> przedsięwzięcia</w:t>
        </w:r>
        <w:r>
          <w:rPr>
            <w:webHidden/>
          </w:rPr>
          <w:fldChar w:fldCharType="begin"/>
        </w:r>
        <w:r>
          <w:rPr>
            <w:webHidden/>
          </w:rPr>
          <w:instrText>PAGEREF _Toc121388974 \h</w:instrText>
        </w:r>
        <w:r>
          <w:rPr>
            <w:webHidden/>
          </w:rPr>
          <w:fldChar w:fldCharType="separate"/>
        </w:r>
        <w:r>
          <w:rPr>
            <w:rStyle w:val="ListLabel237"/>
            <w:vanish/>
          </w:rPr>
          <w:fldChar w:fldCharType="begin"/>
        </w:r>
        <w:r>
          <w:rPr>
            <w:webHidden/>
          </w:rPr>
          <w:fldChar w:fldCharType="end"/>
        </w:r>
        <w:r>
          <w:rPr>
            <w:rStyle w:val="ListLabel237"/>
            <w:vanish/>
          </w:rPr>
          <w:instrText> PAGEREF _Toc121388974 \h </w:instrText>
        </w:r>
        <w:r>
          <w:rPr>
            <w:rStyle w:val="ListLabel237"/>
            <w:vanish/>
          </w:rPr>
          <w:fldChar w:fldCharType="separate"/>
        </w:r>
        <w:r>
          <w:rPr>
            <w:rStyle w:val="ListLabel237"/>
            <w:vanish/>
          </w:rPr>
          <w:t>4</w:t>
        </w:r>
        <w:r>
          <w:rPr>
            <w:rStyle w:val="ListLabel237"/>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75">
        <w:r>
          <w:rPr>
            <w:rStyle w:val="Czeindeksu"/>
            <w:rFonts w:cs="Calibri" w:cstheme="minorHAnsi"/>
          </w:rPr>
          <w:t>3.</w:t>
        </w:r>
        <w:r>
          <w:rPr>
            <w:rStyle w:val="Czeindeksu"/>
            <w:rFonts w:eastAsia="" w:cs="" w:cstheme="minorBidi" w:eastAsiaTheme="minorEastAsia"/>
            <w:color w:val="auto"/>
            <w:sz w:val="22"/>
          </w:rPr>
          <w:tab/>
        </w:r>
        <w:r>
          <w:rPr>
            <w:rStyle w:val="Czeindeksu"/>
            <w:rFonts w:cs="Calibri" w:cstheme="minorHAnsi"/>
          </w:rPr>
          <w:t>Powierzchna zajmowanej nieruchomości, a także obiektu budowlanego oraz dotychczasowy sposób ich wykorzystywania i pokryciu nieruchomości szatą roślinną</w:t>
        </w:r>
        <w:r>
          <w:rPr>
            <w:webHidden/>
          </w:rPr>
          <w:fldChar w:fldCharType="begin"/>
        </w:r>
        <w:r>
          <w:rPr>
            <w:webHidden/>
          </w:rPr>
          <w:instrText>PAGEREF _Toc121388975 \h</w:instrText>
        </w:r>
        <w:r>
          <w:rPr>
            <w:webHidden/>
          </w:rPr>
          <w:fldChar w:fldCharType="separate"/>
        </w:r>
        <w:r>
          <w:rPr>
            <w:rStyle w:val="ListLabel236"/>
            <w:vanish/>
          </w:rPr>
          <w:fldChar w:fldCharType="begin"/>
        </w:r>
        <w:r>
          <w:rPr>
            <w:webHidden/>
          </w:rPr>
          <w:fldChar w:fldCharType="end"/>
        </w:r>
        <w:r>
          <w:rPr>
            <w:rStyle w:val="ListLabel236"/>
            <w:vanish/>
          </w:rPr>
          <w:instrText> PAGEREF _Toc121388975 \h </w:instrText>
        </w:r>
        <w:r>
          <w:rPr>
            <w:rStyle w:val="ListLabel236"/>
            <w:vanish/>
          </w:rPr>
          <w:fldChar w:fldCharType="separate"/>
        </w:r>
        <w:r>
          <w:rPr>
            <w:rStyle w:val="ListLabel236"/>
            <w:vanish/>
          </w:rPr>
          <w:t>6</w:t>
        </w:r>
        <w:r>
          <w:rPr>
            <w:rStyle w:val="ListLabel236"/>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76">
        <w:r>
          <w:rPr>
            <w:rStyle w:val="Czeindeksu"/>
            <w:rFonts w:cs="Calibri" w:cstheme="minorHAnsi"/>
          </w:rPr>
          <w:t>4.</w:t>
        </w:r>
        <w:r>
          <w:rPr>
            <w:rStyle w:val="Czeindeksu"/>
            <w:rFonts w:eastAsia="" w:cs="" w:cstheme="minorBidi" w:eastAsiaTheme="minorEastAsia"/>
            <w:color w:val="auto"/>
            <w:sz w:val="22"/>
          </w:rPr>
          <w:tab/>
        </w:r>
        <w:r>
          <w:rPr>
            <w:rStyle w:val="Czeindeksu"/>
            <w:rFonts w:cs="Calibri" w:cstheme="minorHAnsi"/>
          </w:rPr>
          <w:t>Rodzaj technologii</w:t>
        </w:r>
        <w:r>
          <w:rPr>
            <w:webHidden/>
          </w:rPr>
          <w:fldChar w:fldCharType="begin"/>
        </w:r>
        <w:r>
          <w:rPr>
            <w:webHidden/>
          </w:rPr>
          <w:instrText>PAGEREF _Toc121388976 \h</w:instrText>
        </w:r>
        <w:r>
          <w:rPr>
            <w:webHidden/>
          </w:rPr>
          <w:fldChar w:fldCharType="separate"/>
        </w:r>
        <w:r>
          <w:rPr>
            <w:rStyle w:val="ListLabel236"/>
            <w:vanish/>
          </w:rPr>
          <w:fldChar w:fldCharType="begin"/>
        </w:r>
        <w:r>
          <w:rPr>
            <w:webHidden/>
          </w:rPr>
          <w:fldChar w:fldCharType="end"/>
        </w:r>
        <w:r>
          <w:rPr>
            <w:rStyle w:val="ListLabel236"/>
            <w:vanish/>
          </w:rPr>
          <w:instrText> PAGEREF _Toc121388976 \h </w:instrText>
        </w:r>
        <w:r>
          <w:rPr>
            <w:rStyle w:val="ListLabel236"/>
            <w:vanish/>
          </w:rPr>
          <w:fldChar w:fldCharType="separate"/>
        </w:r>
        <w:r>
          <w:rPr>
            <w:rStyle w:val="ListLabel236"/>
            <w:vanish/>
          </w:rPr>
          <w:t>7</w:t>
        </w:r>
        <w:r>
          <w:rPr>
            <w:rStyle w:val="ListLabel236"/>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77">
        <w:r>
          <w:rPr>
            <w:rStyle w:val="Czeindeksu"/>
            <w:rFonts w:cs="Calibri" w:cstheme="minorHAnsi"/>
            <w:shd w:fill="FFFFFF" w:val="clear"/>
          </w:rPr>
          <w:t>5. Ewentualne warianty przedsięwzięcia</w:t>
        </w:r>
        <w:r>
          <w:rPr>
            <w:webHidden/>
          </w:rPr>
          <w:fldChar w:fldCharType="begin"/>
        </w:r>
        <w:r>
          <w:rPr>
            <w:webHidden/>
          </w:rPr>
          <w:instrText>PAGEREF _Toc121388977 \h</w:instrText>
        </w:r>
        <w:r>
          <w:rPr>
            <w:webHidden/>
          </w:rPr>
          <w:fldChar w:fldCharType="separate"/>
        </w:r>
        <w:r>
          <w:rPr>
            <w:rStyle w:val="ListLabel237"/>
            <w:vanish/>
          </w:rPr>
          <w:fldChar w:fldCharType="begin"/>
        </w:r>
        <w:r>
          <w:rPr>
            <w:webHidden/>
          </w:rPr>
          <w:fldChar w:fldCharType="end"/>
        </w:r>
        <w:r>
          <w:rPr>
            <w:rStyle w:val="ListLabel237"/>
            <w:vanish/>
          </w:rPr>
          <w:instrText> PAGEREF _Toc121388977 \h </w:instrText>
        </w:r>
        <w:r>
          <w:rPr>
            <w:rStyle w:val="ListLabel237"/>
            <w:vanish/>
          </w:rPr>
          <w:fldChar w:fldCharType="separate"/>
        </w:r>
        <w:r>
          <w:rPr>
            <w:rStyle w:val="ListLabel237"/>
            <w:vanish/>
          </w:rPr>
          <w:t>10</w:t>
        </w:r>
        <w:r>
          <w:rPr>
            <w:rStyle w:val="ListLabel237"/>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78">
        <w:r>
          <w:rPr>
            <w:rStyle w:val="Czeindeksu"/>
            <w:rFonts w:cs="Calibri" w:cstheme="minorHAnsi"/>
            <w:shd w:fill="FFFFFF" w:val="clear"/>
          </w:rPr>
          <w:t>6. Przewidywana ilość wykorzystywanej wody, surowców, materiałów, paliw oraz energii</w:t>
        </w:r>
        <w:r>
          <w:rPr>
            <w:webHidden/>
          </w:rPr>
          <w:fldChar w:fldCharType="begin"/>
        </w:r>
        <w:r>
          <w:rPr>
            <w:webHidden/>
          </w:rPr>
          <w:instrText>PAGEREF _Toc121388978 \h</w:instrText>
        </w:r>
        <w:r>
          <w:rPr>
            <w:webHidden/>
          </w:rPr>
          <w:fldChar w:fldCharType="separate"/>
        </w:r>
        <w:r>
          <w:rPr>
            <w:rStyle w:val="ListLabel237"/>
            <w:vanish/>
          </w:rPr>
          <w:fldChar w:fldCharType="begin"/>
        </w:r>
        <w:r>
          <w:rPr>
            <w:webHidden/>
          </w:rPr>
          <w:fldChar w:fldCharType="end"/>
        </w:r>
        <w:r>
          <w:rPr>
            <w:rStyle w:val="ListLabel237"/>
            <w:vanish/>
          </w:rPr>
          <w:instrText> PAGEREF _Toc121388978 \h </w:instrText>
        </w:r>
        <w:r>
          <w:rPr>
            <w:rStyle w:val="ListLabel237"/>
            <w:vanish/>
          </w:rPr>
          <w:fldChar w:fldCharType="separate"/>
        </w:r>
        <w:r>
          <w:rPr>
            <w:rStyle w:val="ListLabel237"/>
            <w:vanish/>
          </w:rPr>
          <w:t>12</w:t>
        </w:r>
        <w:r>
          <w:rPr>
            <w:rStyle w:val="ListLabel237"/>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79">
        <w:r>
          <w:rPr>
            <w:rStyle w:val="Czeindeksu"/>
            <w:rFonts w:cs="Calibri" w:cstheme="minorHAnsi"/>
            <w:shd w:fill="FFFFFF" w:val="clear"/>
          </w:rPr>
          <w:t>7.  Rozwiązania chroniące środowisko,</w:t>
        </w:r>
        <w:r>
          <w:rPr>
            <w:webHidden/>
          </w:rPr>
          <w:fldChar w:fldCharType="begin"/>
        </w:r>
        <w:r>
          <w:rPr>
            <w:webHidden/>
          </w:rPr>
          <w:instrText>PAGEREF _Toc121388979 \h</w:instrText>
        </w:r>
        <w:r>
          <w:rPr>
            <w:webHidden/>
          </w:rPr>
          <w:fldChar w:fldCharType="separate"/>
        </w:r>
        <w:r>
          <w:rPr>
            <w:rStyle w:val="ListLabel237"/>
            <w:vanish/>
          </w:rPr>
          <w:fldChar w:fldCharType="begin"/>
        </w:r>
        <w:r>
          <w:rPr>
            <w:webHidden/>
          </w:rPr>
          <w:fldChar w:fldCharType="end"/>
        </w:r>
        <w:r>
          <w:rPr>
            <w:rStyle w:val="ListLabel237"/>
            <w:vanish/>
          </w:rPr>
          <w:instrText> PAGEREF _Toc121388979 \h </w:instrText>
        </w:r>
        <w:r>
          <w:rPr>
            <w:rStyle w:val="ListLabel237"/>
            <w:vanish/>
          </w:rPr>
          <w:fldChar w:fldCharType="separate"/>
        </w:r>
        <w:r>
          <w:rPr>
            <w:rStyle w:val="ListLabel237"/>
            <w:vanish/>
          </w:rPr>
          <w:t>13</w:t>
        </w:r>
        <w:r>
          <w:rPr>
            <w:rStyle w:val="ListLabel237"/>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0">
        <w:r>
          <w:rPr>
            <w:rStyle w:val="Czeindeksu"/>
          </w:rPr>
          <w:t>8.</w:t>
        </w:r>
        <w:r>
          <w:rPr>
            <w:rStyle w:val="Czeindeksu"/>
            <w:rFonts w:eastAsia="Arial"/>
          </w:rPr>
          <w:t xml:space="preserve"> </w:t>
        </w:r>
        <w:r>
          <w:rPr>
            <w:rStyle w:val="Czeindeksu"/>
          </w:rPr>
          <w:t>Rodzaje i przewidywane ilości wprowadzanych do środowiska substancji lub energii przy zastosowaniu rozwiązań chroniących środowisko</w:t>
        </w:r>
        <w:r>
          <w:rPr>
            <w:webHidden/>
          </w:rPr>
          <w:fldChar w:fldCharType="begin"/>
        </w:r>
        <w:r>
          <w:rPr>
            <w:webHidden/>
          </w:rPr>
          <w:instrText>PAGEREF _Toc121388980 \h</w:instrText>
        </w:r>
        <w:r>
          <w:rPr>
            <w:webHidden/>
          </w:rPr>
          <w:fldChar w:fldCharType="separate"/>
        </w:r>
        <w:r>
          <w:rPr>
            <w:rStyle w:val="ListLabel233"/>
            <w:vanish/>
          </w:rPr>
          <w:fldChar w:fldCharType="begin"/>
        </w:r>
        <w:r>
          <w:rPr>
            <w:webHidden/>
          </w:rPr>
          <w:fldChar w:fldCharType="end"/>
        </w:r>
        <w:r>
          <w:rPr>
            <w:rStyle w:val="ListLabel233"/>
            <w:vanish/>
          </w:rPr>
          <w:instrText> PAGEREF _Toc121388980 \h </w:instrText>
        </w:r>
        <w:r>
          <w:rPr>
            <w:rStyle w:val="ListLabel233"/>
            <w:vanish/>
          </w:rPr>
          <w:fldChar w:fldCharType="separate"/>
        </w:r>
        <w:r>
          <w:rPr>
            <w:rStyle w:val="ListLabel233"/>
            <w:vanish/>
          </w:rPr>
          <w:t>19</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1">
        <w:r>
          <w:rPr>
            <w:rStyle w:val="Czeindeksu"/>
          </w:rPr>
          <w:t>9. Rodzaj, przewidywane ilość i sposób postępowania z odpadami</w:t>
        </w:r>
        <w:r>
          <w:rPr>
            <w:webHidden/>
          </w:rPr>
          <w:fldChar w:fldCharType="begin"/>
        </w:r>
        <w:r>
          <w:rPr>
            <w:webHidden/>
          </w:rPr>
          <w:instrText>PAGEREF _Toc121388981 \h</w:instrText>
        </w:r>
        <w:r>
          <w:rPr>
            <w:webHidden/>
          </w:rPr>
          <w:fldChar w:fldCharType="separate"/>
        </w:r>
        <w:r>
          <w:rPr>
            <w:rStyle w:val="ListLabel233"/>
            <w:vanish/>
          </w:rPr>
          <w:fldChar w:fldCharType="begin"/>
        </w:r>
        <w:r>
          <w:rPr>
            <w:webHidden/>
          </w:rPr>
          <w:fldChar w:fldCharType="end"/>
        </w:r>
        <w:r>
          <w:rPr>
            <w:rStyle w:val="ListLabel233"/>
            <w:vanish/>
          </w:rPr>
          <w:instrText> PAGEREF _Toc121388981 \h </w:instrText>
        </w:r>
        <w:r>
          <w:rPr>
            <w:rStyle w:val="ListLabel233"/>
            <w:vanish/>
          </w:rPr>
          <w:fldChar w:fldCharType="separate"/>
        </w:r>
        <w:r>
          <w:rPr>
            <w:rStyle w:val="ListLabel233"/>
            <w:vanish/>
          </w:rPr>
          <w:t>22</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2">
        <w:r>
          <w:rPr>
            <w:rStyle w:val="Czeindeksu"/>
          </w:rPr>
          <w:t>10. Możliwe transgraniczne oddziaływanie na środowisko</w:t>
        </w:r>
        <w:r>
          <w:rPr>
            <w:webHidden/>
          </w:rPr>
          <w:fldChar w:fldCharType="begin"/>
        </w:r>
        <w:r>
          <w:rPr>
            <w:webHidden/>
          </w:rPr>
          <w:instrText>PAGEREF _Toc121388982 \h</w:instrText>
        </w:r>
        <w:r>
          <w:rPr>
            <w:webHidden/>
          </w:rPr>
          <w:fldChar w:fldCharType="separate"/>
        </w:r>
        <w:r>
          <w:rPr>
            <w:rStyle w:val="ListLabel233"/>
            <w:vanish/>
          </w:rPr>
          <w:fldChar w:fldCharType="begin"/>
        </w:r>
        <w:r>
          <w:rPr>
            <w:webHidden/>
          </w:rPr>
          <w:fldChar w:fldCharType="end"/>
        </w:r>
        <w:r>
          <w:rPr>
            <w:rStyle w:val="ListLabel233"/>
            <w:vanish/>
          </w:rPr>
          <w:instrText> PAGEREF _Toc121388982 \h </w:instrText>
        </w:r>
        <w:r>
          <w:rPr>
            <w:rStyle w:val="ListLabel233"/>
            <w:vanish/>
          </w:rPr>
          <w:fldChar w:fldCharType="separate"/>
        </w:r>
        <w:r>
          <w:rPr>
            <w:rStyle w:val="ListLabel233"/>
            <w:vanish/>
          </w:rPr>
          <w:t>25</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3">
        <w:r>
          <w:rPr>
            <w:rStyle w:val="Czeindeksu"/>
            <w:shd w:fill="FFFFFF" w:val="clear"/>
          </w:rPr>
          <w:t xml:space="preserve">11. </w:t>
        </w:r>
        <w:r>
          <w:rPr>
            <w:rStyle w:val="Czeindeksu"/>
          </w:rPr>
          <w:t>Obszary</w:t>
        </w:r>
        <w:r>
          <w:rPr>
            <w:rStyle w:val="Czeindeksu"/>
            <w:shd w:fill="FFFFFF" w:val="clear"/>
          </w:rPr>
          <w:t xml:space="preserve"> chronione</w:t>
        </w:r>
        <w:r>
          <w:rPr>
            <w:webHidden/>
          </w:rPr>
          <w:fldChar w:fldCharType="begin"/>
        </w:r>
        <w:r>
          <w:rPr>
            <w:webHidden/>
          </w:rPr>
          <w:instrText>PAGEREF _Toc121388983 \h</w:instrText>
        </w:r>
        <w:r>
          <w:rPr>
            <w:webHidden/>
          </w:rPr>
          <w:fldChar w:fldCharType="separate"/>
        </w:r>
        <w:r>
          <w:rPr>
            <w:rStyle w:val="ListLabel235"/>
            <w:vanish/>
          </w:rPr>
          <w:fldChar w:fldCharType="begin"/>
        </w:r>
        <w:r>
          <w:rPr>
            <w:webHidden/>
          </w:rPr>
          <w:fldChar w:fldCharType="end"/>
        </w:r>
        <w:r>
          <w:rPr>
            <w:rStyle w:val="ListLabel235"/>
            <w:vanish/>
          </w:rPr>
          <w:instrText> PAGEREF _Toc121388983 \h </w:instrText>
        </w:r>
        <w:r>
          <w:rPr>
            <w:rStyle w:val="ListLabel235"/>
            <w:vanish/>
          </w:rPr>
          <w:fldChar w:fldCharType="separate"/>
        </w:r>
        <w:r>
          <w:rPr>
            <w:rStyle w:val="ListLabel235"/>
            <w:vanish/>
          </w:rPr>
          <w:t>25</w:t>
        </w:r>
        <w:r>
          <w:rPr>
            <w:rStyle w:val="ListLabel235"/>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4">
        <w:r>
          <w:rPr>
            <w:rStyle w:val="Czeindeksu"/>
          </w:rPr>
          <w:t>12. Zanieczyszczenie wód i gruntu</w:t>
        </w:r>
        <w:r>
          <w:rPr>
            <w:webHidden/>
          </w:rPr>
          <w:fldChar w:fldCharType="begin"/>
        </w:r>
        <w:r>
          <w:rPr>
            <w:webHidden/>
          </w:rPr>
          <w:instrText>PAGEREF _Toc121388984 \h</w:instrText>
        </w:r>
        <w:r>
          <w:rPr>
            <w:webHidden/>
          </w:rPr>
          <w:fldChar w:fldCharType="separate"/>
        </w:r>
        <w:r>
          <w:rPr>
            <w:rStyle w:val="ListLabel233"/>
            <w:vanish/>
          </w:rPr>
          <w:fldChar w:fldCharType="begin"/>
        </w:r>
        <w:r>
          <w:rPr>
            <w:webHidden/>
          </w:rPr>
          <w:fldChar w:fldCharType="end"/>
        </w:r>
        <w:r>
          <w:rPr>
            <w:rStyle w:val="ListLabel233"/>
            <w:vanish/>
          </w:rPr>
          <w:instrText> PAGEREF _Toc121388984 \h </w:instrText>
        </w:r>
        <w:r>
          <w:rPr>
            <w:rStyle w:val="ListLabel233"/>
            <w:vanish/>
          </w:rPr>
          <w:fldChar w:fldCharType="separate"/>
        </w:r>
        <w:r>
          <w:rPr>
            <w:rStyle w:val="ListLabel233"/>
            <w:vanish/>
          </w:rPr>
          <w:t>28</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5">
        <w:r>
          <w:rPr>
            <w:rStyle w:val="Czeindeksu"/>
          </w:rPr>
          <w:t>13. Oddziaływanie na krajobraz</w:t>
        </w:r>
        <w:r>
          <w:rPr>
            <w:webHidden/>
          </w:rPr>
          <w:fldChar w:fldCharType="begin"/>
        </w:r>
        <w:r>
          <w:rPr>
            <w:webHidden/>
          </w:rPr>
          <w:instrText>PAGEREF _Toc121388985 \h</w:instrText>
        </w:r>
        <w:r>
          <w:rPr>
            <w:webHidden/>
          </w:rPr>
          <w:fldChar w:fldCharType="separate"/>
        </w:r>
        <w:r>
          <w:rPr>
            <w:rStyle w:val="ListLabel233"/>
            <w:vanish/>
          </w:rPr>
          <w:fldChar w:fldCharType="begin"/>
        </w:r>
        <w:r>
          <w:rPr>
            <w:webHidden/>
          </w:rPr>
          <w:fldChar w:fldCharType="end"/>
        </w:r>
        <w:r>
          <w:rPr>
            <w:rStyle w:val="ListLabel233"/>
            <w:vanish/>
          </w:rPr>
          <w:instrText> PAGEREF _Toc121388985 \h </w:instrText>
        </w:r>
        <w:r>
          <w:rPr>
            <w:rStyle w:val="ListLabel233"/>
            <w:vanish/>
          </w:rPr>
          <w:fldChar w:fldCharType="separate"/>
        </w:r>
        <w:r>
          <w:rPr>
            <w:rStyle w:val="ListLabel233"/>
            <w:vanish/>
          </w:rPr>
          <w:t>32</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6">
        <w:r>
          <w:rPr>
            <w:rStyle w:val="Czeindeksu"/>
          </w:rPr>
          <w:t>14. Przedsięwzięcia realizowane i zrealizowane, znajdujące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r>
          <w:rPr>
            <w:webHidden/>
          </w:rPr>
          <w:fldChar w:fldCharType="begin"/>
        </w:r>
        <w:r>
          <w:rPr>
            <w:webHidden/>
          </w:rPr>
          <w:instrText>PAGEREF _Toc121388986 \h</w:instrText>
        </w:r>
        <w:r>
          <w:rPr>
            <w:webHidden/>
          </w:rPr>
          <w:fldChar w:fldCharType="separate"/>
        </w:r>
        <w:r>
          <w:rPr>
            <w:rStyle w:val="ListLabel233"/>
            <w:vanish/>
          </w:rPr>
          <w:fldChar w:fldCharType="begin"/>
        </w:r>
        <w:r>
          <w:rPr>
            <w:webHidden/>
          </w:rPr>
          <w:fldChar w:fldCharType="end"/>
        </w:r>
        <w:r>
          <w:rPr>
            <w:rStyle w:val="ListLabel233"/>
            <w:vanish/>
          </w:rPr>
          <w:instrText> PAGEREF _Toc121388986 \h </w:instrText>
        </w:r>
        <w:r>
          <w:rPr>
            <w:rStyle w:val="ListLabel233"/>
            <w:vanish/>
          </w:rPr>
          <w:fldChar w:fldCharType="separate"/>
        </w:r>
        <w:r>
          <w:rPr>
            <w:rStyle w:val="ListLabel233"/>
            <w:vanish/>
          </w:rPr>
          <w:t>32</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7">
        <w:r>
          <w:rPr>
            <w:rStyle w:val="Czeindeksu"/>
            <w:shd w:fill="FFFFFF" w:val="clear"/>
          </w:rPr>
          <w:t xml:space="preserve">15. Ryzyko wystąpienia poważnej awarii lub katastrofy naturalnej i </w:t>
        </w:r>
        <w:r>
          <w:rPr>
            <w:rStyle w:val="Czeindeksu"/>
          </w:rPr>
          <w:t>budowlanej</w:t>
        </w:r>
        <w:r>
          <w:rPr>
            <w:webHidden/>
          </w:rPr>
          <w:fldChar w:fldCharType="begin"/>
        </w:r>
        <w:r>
          <w:rPr>
            <w:webHidden/>
          </w:rPr>
          <w:instrText>PAGEREF _Toc121388987 \h</w:instrText>
        </w:r>
        <w:r>
          <w:rPr>
            <w:webHidden/>
          </w:rPr>
          <w:fldChar w:fldCharType="separate"/>
        </w:r>
        <w:r>
          <w:rPr>
            <w:rStyle w:val="ListLabel233"/>
            <w:vanish/>
          </w:rPr>
          <w:fldChar w:fldCharType="begin"/>
        </w:r>
        <w:r>
          <w:rPr>
            <w:webHidden/>
          </w:rPr>
          <w:fldChar w:fldCharType="end"/>
        </w:r>
        <w:r>
          <w:rPr>
            <w:rStyle w:val="ListLabel233"/>
            <w:vanish/>
          </w:rPr>
          <w:instrText> PAGEREF _Toc121388987 \h </w:instrText>
        </w:r>
        <w:r>
          <w:rPr>
            <w:rStyle w:val="ListLabel233"/>
            <w:vanish/>
          </w:rPr>
          <w:fldChar w:fldCharType="separate"/>
        </w:r>
        <w:r>
          <w:rPr>
            <w:rStyle w:val="ListLabel233"/>
            <w:vanish/>
          </w:rPr>
          <w:t>33</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8">
        <w:r>
          <w:rPr>
            <w:rStyle w:val="Czeindeksu"/>
          </w:rPr>
          <w:t>16. Obszar ograniczonego użytkowania i zapobieganie awariom przemysłowym</w:t>
        </w:r>
        <w:r>
          <w:rPr>
            <w:webHidden/>
          </w:rPr>
          <w:fldChar w:fldCharType="begin"/>
        </w:r>
        <w:r>
          <w:rPr>
            <w:webHidden/>
          </w:rPr>
          <w:instrText>PAGEREF _Toc121388988 \h</w:instrText>
        </w:r>
        <w:r>
          <w:rPr>
            <w:webHidden/>
          </w:rPr>
          <w:fldChar w:fldCharType="separate"/>
        </w:r>
        <w:r>
          <w:rPr>
            <w:rStyle w:val="ListLabel233"/>
            <w:vanish/>
          </w:rPr>
          <w:fldChar w:fldCharType="begin"/>
        </w:r>
        <w:r>
          <w:rPr>
            <w:webHidden/>
          </w:rPr>
          <w:fldChar w:fldCharType="end"/>
        </w:r>
        <w:r>
          <w:rPr>
            <w:rStyle w:val="ListLabel233"/>
            <w:vanish/>
          </w:rPr>
          <w:instrText> PAGEREF _Toc121388988 \h </w:instrText>
        </w:r>
        <w:r>
          <w:rPr>
            <w:rStyle w:val="ListLabel233"/>
            <w:vanish/>
          </w:rPr>
          <w:fldChar w:fldCharType="separate"/>
        </w:r>
        <w:r>
          <w:rPr>
            <w:rStyle w:val="ListLabel233"/>
            <w:vanish/>
          </w:rPr>
          <w:t>35</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89">
        <w:r>
          <w:rPr>
            <w:rStyle w:val="Czeindeksu"/>
          </w:rPr>
          <w:t>17. Podsumowanie</w:t>
        </w:r>
        <w:r>
          <w:rPr>
            <w:webHidden/>
          </w:rPr>
          <w:fldChar w:fldCharType="begin"/>
        </w:r>
        <w:r>
          <w:rPr>
            <w:webHidden/>
          </w:rPr>
          <w:instrText>PAGEREF _Toc121388989 \h</w:instrText>
        </w:r>
        <w:r>
          <w:rPr>
            <w:webHidden/>
          </w:rPr>
          <w:fldChar w:fldCharType="separate"/>
        </w:r>
        <w:r>
          <w:rPr>
            <w:rStyle w:val="ListLabel233"/>
            <w:vanish/>
          </w:rPr>
          <w:fldChar w:fldCharType="begin"/>
        </w:r>
        <w:r>
          <w:rPr>
            <w:webHidden/>
          </w:rPr>
          <w:fldChar w:fldCharType="end"/>
        </w:r>
        <w:r>
          <w:rPr>
            <w:rStyle w:val="ListLabel233"/>
            <w:vanish/>
          </w:rPr>
          <w:instrText> PAGEREF _Toc121388989 \h </w:instrText>
        </w:r>
        <w:r>
          <w:rPr>
            <w:rStyle w:val="ListLabel233"/>
            <w:vanish/>
          </w:rPr>
          <w:fldChar w:fldCharType="separate"/>
        </w:r>
        <w:r>
          <w:rPr>
            <w:rStyle w:val="ListLabel233"/>
            <w:vanish/>
          </w:rPr>
          <w:t>35</w:t>
        </w:r>
        <w:r>
          <w:rPr>
            <w:rStyle w:val="ListLabel233"/>
            <w:vanish/>
          </w:rPr>
          <w:fldChar w:fldCharType="end"/>
        </w:r>
      </w:hyperlink>
    </w:p>
    <w:p>
      <w:pPr>
        <w:pStyle w:val="Spistreci1"/>
        <w:rPr>
          <w:rFonts w:ascii="Calibri" w:hAnsi="Calibri" w:eastAsia="" w:cs="" w:asciiTheme="minorHAnsi" w:cstheme="minorBidi" w:eastAsiaTheme="minorEastAsia" w:hAnsiTheme="minorHAnsi"/>
          <w:color w:val="auto"/>
          <w:sz w:val="22"/>
        </w:rPr>
      </w:pPr>
      <w:hyperlink w:anchor="_Toc121388990">
        <w:r>
          <w:rPr>
            <w:rStyle w:val="Czeindeksu"/>
          </w:rPr>
          <w:t>18. Mapy odległości od obszarów, zakres oddziaływania inwestycji oraz przykładowe zagospodarowanie terenu</w:t>
        </w:r>
        <w:r>
          <w:rPr>
            <w:webHidden/>
          </w:rPr>
          <w:fldChar w:fldCharType="begin"/>
        </w:r>
        <w:r>
          <w:rPr>
            <w:webHidden/>
          </w:rPr>
          <w:instrText>PAGEREF _Toc121388990 \h</w:instrText>
        </w:r>
        <w:r>
          <w:rPr>
            <w:webHidden/>
          </w:rPr>
          <w:fldChar w:fldCharType="separate"/>
        </w:r>
        <w:r>
          <w:rPr>
            <w:rStyle w:val="ListLabel233"/>
            <w:vanish/>
          </w:rPr>
          <w:fldChar w:fldCharType="begin"/>
        </w:r>
        <w:r>
          <w:rPr>
            <w:webHidden/>
          </w:rPr>
          <w:fldChar w:fldCharType="end"/>
        </w:r>
        <w:r>
          <w:rPr>
            <w:rStyle w:val="ListLabel233"/>
            <w:vanish/>
          </w:rPr>
          <w:instrText> PAGEREF _Toc121388990 \h </w:instrText>
        </w:r>
        <w:r>
          <w:rPr>
            <w:rStyle w:val="ListLabel233"/>
            <w:vanish/>
          </w:rPr>
          <w:fldChar w:fldCharType="separate"/>
        </w:r>
        <w:r>
          <w:rPr>
            <w:rStyle w:val="ListLabel233"/>
            <w:vanish/>
          </w:rPr>
          <w:t>36</w:t>
        </w:r>
        <w:r>
          <w:rPr>
            <w:rStyle w:val="ListLabel233"/>
            <w:vanish/>
          </w:rPr>
          <w:fldChar w:fldCharType="end"/>
        </w:r>
      </w:hyperlink>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ormal"/>
        <w:spacing w:lineRule="auto" w:line="240"/>
        <w:ind w:left="0" w:hanging="0"/>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r>
    </w:p>
    <w:p>
      <w:pPr>
        <w:pStyle w:val="Nagwek1"/>
        <w:numPr>
          <w:ilvl w:val="0"/>
          <w:numId w:val="14"/>
        </w:numPr>
        <w:ind w:left="658" w:right="0" w:hanging="360"/>
        <w:rPr>
          <w:highlight w:val="white"/>
        </w:rPr>
      </w:pPr>
      <w:bookmarkStart w:id="8" w:name="_Toc121388973"/>
      <w:r>
        <w:rPr>
          <w:shd w:fill="FFFFFF" w:val="clear"/>
        </w:rPr>
        <w:t>Wstęp</w:t>
      </w:r>
      <w:bookmarkEnd w:id="8"/>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Poniżej przedstawiono ocenę oddziaływania na środowisko oraz rozwiązania chroniące środowisko dla przedsięwzięcia polegającego na budowie instalacji fotowoltaicznej na terenie obejmującym działki  (do 7,73 ha) o nr ewid. 157, 158/1, 158/2, 159, 160 w obrębie Szczukocice Wieś, gmina Gorzkowice, powiat piotrkowski, województwo łódzkie.</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 xml:space="preserve">Inwestor posiada prawo dysponowania nieruchomością tj. umowę dzierżawy działek. </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Zgodnie z §. 3 ust. 1 pkt 54, lit. b Rozporządzenia Rady Ministrów z dnia 10 września 2019 r. w sprawie przedsięwzięć mogących znacząco oddziaływać na środowisko (Dz. U. 2019 poz. 1839) planowana inwestycja może zostać zaklasyfikowana jako przedsięwzięcie mogące </w:t>
      </w:r>
      <w:r>
        <w:rPr>
          <w:rFonts w:cs="Calibri" w:cstheme="minorHAnsi"/>
          <w:color w:val="000000" w:themeColor="text1"/>
          <w:szCs w:val="24"/>
          <w:u w:val="single"/>
        </w:rPr>
        <w:t>potencjalnie znacząco</w:t>
      </w:r>
      <w:r>
        <w:rPr>
          <w:rFonts w:cs="Calibri" w:cstheme="minorHAnsi"/>
          <w:color w:val="000000" w:themeColor="text1"/>
          <w:szCs w:val="24"/>
        </w:rPr>
        <w:t xml:space="preserve"> oddziaływać na środowisko:</w:t>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t>„</w:t>
      </w:r>
      <w:r>
        <w:rPr>
          <w:rFonts w:cs="Calibri" w:cstheme="minorHAnsi"/>
          <w:color w:val="000000" w:themeColor="text1"/>
          <w:szCs w:val="24"/>
        </w:rPr>
        <w:t>§ 3. 1. Do przedsięwzięć mogących potencjalnie znacząco oddziaływać na środowisko zalicza się następujące rodzaje przedsięwzięć:</w:t>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t>54) zabudowa przemysłowa, w tym zabudowa systemami fotowoltaicznymi, lub magazynowa, wraz z towarzyszącą jej infrastrukturą, o powierzchni zabudowy nie mniejszej niż:</w:t>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t>a) 0,5 ha na obszarach objętych formami ochrony przyrody, o których mowa w art. 6 ust. 1 pkt 1–5, 8 i 9 ustawy z dnia 16 kwietnia 2004 r. o ochronie przyrody, lub w otulinach form ochrony przyrody, o których mowa w art. 6 ust. 1 pkt 1–3 tej ustawy”,</w:t>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t>b) 1 ha na obszarach innych niż wymienione w lit. a.</w:t>
      </w:r>
    </w:p>
    <w:p>
      <w:pPr>
        <w:pStyle w:val="Normal"/>
        <w:ind w:left="0" w:firstLine="284"/>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ind w:left="0" w:firstLine="284"/>
        <w:rPr>
          <w:rFonts w:ascii="Calibri" w:hAnsi="Calibri" w:cs="Calibri" w:asciiTheme="minorHAnsi" w:cstheme="minorHAnsi" w:hAnsiTheme="minorHAnsi"/>
          <w:color w:val="000000" w:themeColor="text1"/>
        </w:rPr>
      </w:pPr>
      <w:r>
        <w:rPr>
          <w:rFonts w:cs="Calibri" w:cstheme="minorHAnsi"/>
        </w:rPr>
        <w:t>Do sporządzenia niniejszej Karty Informacyjnej Przedsięwzięcia wykorzystano następujące akty prawne:</w:t>
      </w:r>
      <w:bookmarkStart w:id="9" w:name="_Hlk34225283"/>
      <w:bookmarkEnd w:id="9"/>
    </w:p>
    <w:p>
      <w:pPr>
        <w:pStyle w:val="Normal"/>
        <w:numPr>
          <w:ilvl w:val="0"/>
          <w:numId w:val="8"/>
        </w:numPr>
        <w:spacing w:lineRule="auto" w:line="240" w:before="0" w:after="0"/>
        <w:jc w:val="left"/>
        <w:rPr>
          <w:rFonts w:ascii="Calibri" w:hAnsi="Calibri" w:cs="Calibri" w:asciiTheme="minorHAnsi" w:cstheme="minorHAnsi" w:hAnsiTheme="minorHAnsi"/>
          <w:b/>
          <w:b/>
          <w:bCs/>
          <w:color w:val="000000" w:themeColor="text1"/>
        </w:rPr>
      </w:pPr>
      <w:r>
        <w:rPr>
          <w:rFonts w:cs="Calibri" w:cstheme="minorHAnsi"/>
          <w:color w:val="000000" w:themeColor="text1"/>
        </w:rPr>
        <w:t xml:space="preserve">Ustawa z dnia 3 października 2008 r. o udostępnianiu informacji o środowisku i jego ochronie, udziale społeczeństwa w ochronie środowiska oraz o ocenach oddziaływania na środowisko </w:t>
        <w:br/>
        <w:t>[</w:t>
      </w:r>
      <w:r>
        <w:rPr>
          <w:rFonts w:cs="Calibri" w:cstheme="minorHAnsi"/>
          <w:color w:val="000000" w:themeColor="text1"/>
          <w:szCs w:val="24"/>
        </w:rPr>
        <w:t>Dz. U. 2022 poz. 1029</w:t>
      </w:r>
      <w:r>
        <w:rPr>
          <w:rFonts w:cs="Calibri" w:cstheme="minorHAnsi"/>
          <w:color w:val="000000" w:themeColor="text1"/>
        </w:rPr>
        <w:t xml:space="preserve">], </w:t>
      </w:r>
    </w:p>
    <w:p>
      <w:pPr>
        <w:pStyle w:val="Normal"/>
        <w:numPr>
          <w:ilvl w:val="0"/>
          <w:numId w:val="8"/>
        </w:numPr>
        <w:spacing w:lineRule="auto" w:line="240" w:before="0" w:after="0"/>
        <w:jc w:val="left"/>
        <w:rPr>
          <w:rFonts w:ascii="Calibri" w:hAnsi="Calibri" w:cs="Calibri" w:asciiTheme="minorHAnsi" w:cstheme="minorHAnsi" w:hAnsiTheme="minorHAnsi"/>
          <w:b/>
          <w:b/>
          <w:bCs/>
          <w:color w:val="000000" w:themeColor="text1"/>
        </w:rPr>
      </w:pPr>
      <w:r>
        <w:rPr>
          <w:rFonts w:cs="Calibri" w:cstheme="minorHAnsi"/>
          <w:color w:val="000000" w:themeColor="text1"/>
        </w:rPr>
        <w:t xml:space="preserve">Ustawa z dnia 27 kwietnia 2001 r. – Prawo ochrony środowiska [Dz.U. 2021 poz. 1973], </w:t>
      </w:r>
    </w:p>
    <w:p>
      <w:pPr>
        <w:pStyle w:val="Normal"/>
        <w:numPr>
          <w:ilvl w:val="0"/>
          <w:numId w:val="8"/>
        </w:numPr>
        <w:spacing w:lineRule="auto" w:line="240" w:before="0" w:after="0"/>
        <w:jc w:val="left"/>
        <w:rPr>
          <w:rFonts w:ascii="Calibri" w:hAnsi="Calibri" w:cs="Calibri" w:asciiTheme="minorHAnsi" w:cstheme="minorHAnsi" w:hAnsiTheme="minorHAnsi"/>
          <w:b/>
          <w:b/>
          <w:bCs/>
          <w:color w:val="000000" w:themeColor="text1"/>
        </w:rPr>
      </w:pPr>
      <w:r>
        <w:rPr>
          <w:rFonts w:cs="Calibri" w:cstheme="minorHAnsi"/>
          <w:color w:val="000000" w:themeColor="text1"/>
        </w:rPr>
        <w:t xml:space="preserve">Ustawa z dnia 16 kwietnia 2004 r. o ochronie przyrody [Dz.U.2022.916], </w:t>
      </w:r>
    </w:p>
    <w:p>
      <w:pPr>
        <w:pStyle w:val="Normal"/>
        <w:numPr>
          <w:ilvl w:val="0"/>
          <w:numId w:val="8"/>
        </w:numPr>
        <w:spacing w:lineRule="auto" w:line="240" w:before="0" w:after="0"/>
        <w:jc w:val="left"/>
        <w:rPr>
          <w:rFonts w:ascii="Calibri" w:hAnsi="Calibri" w:cs="Calibri" w:asciiTheme="minorHAnsi" w:cstheme="minorHAnsi" w:hAnsiTheme="minorHAnsi"/>
          <w:color w:val="000000" w:themeColor="text1"/>
        </w:rPr>
      </w:pPr>
      <w:r>
        <w:rPr>
          <w:rFonts w:cs="Calibri" w:cstheme="minorHAnsi"/>
          <w:color w:val="000000" w:themeColor="text1"/>
        </w:rPr>
        <w:t>Rozporządzenie Rady Ministrów z dnia 10 września 2019 r. w sprawie przedsięwzięć mogących znacząco oddziaływać na środowisko [Dz. U. z 2019 r. poz. 1839],</w:t>
      </w:r>
    </w:p>
    <w:p>
      <w:pPr>
        <w:pStyle w:val="Normal"/>
        <w:numPr>
          <w:ilvl w:val="0"/>
          <w:numId w:val="8"/>
        </w:numPr>
        <w:spacing w:lineRule="auto" w:line="240" w:before="0" w:after="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Rozporządzenie Ministra Środowiska z dnia 1 października 2012 r. zmieniające rozporządzenie </w:t>
        <w:br/>
        <w:t>w sprawie dopuszczalnych poziomów hałasu w środowisku [Dz. U. 2014 poz. 112],</w:t>
      </w:r>
    </w:p>
    <w:p>
      <w:pPr>
        <w:pStyle w:val="Normal"/>
        <w:numPr>
          <w:ilvl w:val="0"/>
          <w:numId w:val="8"/>
        </w:numPr>
        <w:spacing w:lineRule="auto" w:line="240" w:before="0" w:after="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Rozporządzenie Ministra Gospodarki Morskiej i Żeglugi Śródlądowej z dnia 4 października </w:t>
        <w:br/>
        <w:t xml:space="preserve">2018 r. w sprawie substancji szczególnie szkodliwych dla środowiska wodnego oraz warunków, jakie należy spełnić przy wprowadzaniu do wód lub do ziemi ścieków, a także przy odprowadzaniu wód opadowych lub roztopowych do wód lub do urządzeń wodnych </w:t>
        <w:br/>
        <w:t>[Dz.U. 2019 poz. 1311],</w:t>
      </w:r>
    </w:p>
    <w:p>
      <w:pPr>
        <w:pStyle w:val="Normal"/>
        <w:numPr>
          <w:ilvl w:val="0"/>
          <w:numId w:val="8"/>
        </w:numPr>
        <w:spacing w:lineRule="auto" w:line="240" w:before="0" w:after="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Rozporządzenie Ministra Środowiska z dnia 12 stycznia 2011 r. w sprawie obszarów specjalnej ochrony ptaków [Dz. U. 2011 Nr 25, poz. 133 ze zm.].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ind w:left="-284" w:firstLine="360"/>
        <w:rPr>
          <w:rFonts w:ascii="Calibri" w:hAnsi="Calibri" w:cs="Calibri" w:asciiTheme="minorHAnsi" w:cstheme="minorHAnsi" w:hAnsiTheme="minorHAnsi"/>
          <w:color w:val="000000" w:themeColor="text1"/>
        </w:rPr>
      </w:pPr>
      <w:r>
        <w:rPr>
          <w:rFonts w:cs="Calibri" w:cstheme="minorHAnsi"/>
          <w:color w:val="000000" w:themeColor="text1"/>
        </w:rPr>
        <w:t>Według prognoz ilość energii, która mogłaby zostać wytworzona z odnawialnych źródeł energii jest wystarczająca, aby pokryć zapotrzebowanie ludzi w energię na całym świecie. Gdyby owe prognozy się sprawdziły, można by w znacznym stopniu zmniejszyć ilość zanieczyszczeń emitowanych do powietrza, które powstają podczas dotychczasowej produkcji energii, np. podczas spalania węgla. Na świecie istnieją już miejscowości, w których 100% wytwarzanej energii pochodzi z odnawialnych źródeł energii, przykładem jest wyspa Samso w Danii, gdzie energia elektryczna pochodzi w 100% z wiatraków zaś 75% energii cieplnej pochodzi z biomasy oraz energii słonecznej. W Polsce 98% energii wytwarzana jest ze spalania paliw kopalnianych. Z węgla kamiennego oraz brunatnego pochodzi 76% energii, z ropy naftowej 13%, zaś z gazu ziemnego 9%. Podczas spalania wyżej wymienionych paliw do powietrza emitowane są takie substancje jak np.: tlenki siarki, azotu i węgla, pył oraz benzo(a)piren. Związki te są szkodliwe dla człowieka, a także dla środowiska. Jednym z negatywnych skutków spalania węgla kamiennego oraz brunatnego jest pogłębienie się efektu cieplarnianego, a także występowanie ponadnormatywnych poziomów substancji w powietrzu. Innymi skutkami jest zakwaszenie atmosfery tlenkami siarki i azotu, co prowadzi do ginięcia lasów, a także zamierania życia w rzekach czy jeziorach, emisja tlenków azotu prowadzi też do braku tlenu w środowisku morskim. To wszystko wpływa na życie ludzi. W celu ograniczenia emisji zanieczyszczeń do powietrza oraz ochronie środowiska dynamicznie rozwija się branża fotowoltaiczna.</w:t>
      </w:r>
    </w:p>
    <w:p>
      <w:pPr>
        <w:pStyle w:val="Normal"/>
        <w:ind w:left="0" w:hanging="0"/>
        <w:rPr>
          <w:rFonts w:ascii="Calibri" w:hAnsi="Calibri" w:cs="Calibri" w:asciiTheme="minorHAnsi" w:cstheme="minorHAnsi" w:hAnsiTheme="minorHAnsi"/>
          <w:color w:val="666666"/>
          <w:sz w:val="30"/>
          <w:szCs w:val="30"/>
          <w:highlight w:val="white"/>
        </w:rPr>
      </w:pPr>
      <w:r>
        <w:rPr>
          <w:rFonts w:cs="Calibri" w:cstheme="minorHAnsi"/>
          <w:color w:val="666666"/>
          <w:sz w:val="30"/>
          <w:szCs w:val="30"/>
          <w:highlight w:val="white"/>
        </w:rPr>
      </w:r>
    </w:p>
    <w:p>
      <w:pPr>
        <w:pStyle w:val="Nagwek1"/>
        <w:numPr>
          <w:ilvl w:val="0"/>
          <w:numId w:val="14"/>
        </w:numPr>
        <w:ind w:left="658" w:right="0" w:hanging="360"/>
        <w:rPr>
          <w:rFonts w:ascii="Calibri" w:hAnsi="Calibri" w:cs="Calibri" w:asciiTheme="minorHAnsi" w:cstheme="minorHAnsi" w:hAnsiTheme="minorHAnsi"/>
          <w:highlight w:val="white"/>
        </w:rPr>
      </w:pPr>
      <w:bookmarkStart w:id="10" w:name="_Toc121388974"/>
      <w:r>
        <w:rPr>
          <w:rFonts w:cs="Calibri" w:cstheme="minorHAnsi"/>
          <w:shd w:fill="FFFFFF" w:val="clear"/>
        </w:rPr>
        <w:t xml:space="preserve">Rodzaju, cechy, skala i </w:t>
      </w:r>
      <w:r>
        <w:rPr>
          <w:rFonts w:cs="Calibri" w:cstheme="minorHAnsi"/>
        </w:rPr>
        <w:t>usytuowanie</w:t>
      </w:r>
      <w:r>
        <w:rPr>
          <w:rFonts w:cs="Calibri" w:cstheme="minorHAnsi"/>
          <w:shd w:fill="FFFFFF" w:val="clear"/>
        </w:rPr>
        <w:t xml:space="preserve"> przedsięwzięcia</w:t>
      </w:r>
      <w:bookmarkEnd w:id="10"/>
    </w:p>
    <w:p>
      <w:pPr>
        <w:pStyle w:val="Normal"/>
        <w:rPr>
          <w:rFonts w:ascii="Calibri" w:hAnsi="Calibri" w:cs="Calibri" w:asciiTheme="minorHAnsi" w:cstheme="minorHAnsi" w:hAnsiTheme="minorHAnsi"/>
        </w:rPr>
      </w:pPr>
      <w:r>
        <w:rPr>
          <w:rFonts w:cs="Calibri" w:cstheme="minorHAnsi"/>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u w:val="single" w:color="1E000F"/>
        </w:rPr>
        <w:t>Rodzaj przedsięwzięcia</w:t>
      </w:r>
      <w:r>
        <w:rPr>
          <w:rFonts w:cs="Calibri" w:cstheme="minorHAnsi"/>
          <w:color w:val="000000" w:themeColor="text1"/>
          <w:szCs w:val="24"/>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hd w:val="clear" w:color="auto" w:fill="FFFFFF" w:themeFill="background1"/>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Budowa instalacji fotowoltaicznej wraz z infrastrukturą techniczną (nN/SN konstrukcje i elementy montażowe, panele fotowoltaiczne, inwertery DC/AC, okablowanie solarne, kontenerowa rozdzielnica, układy pomiarowo-zabezpieczające, linie kablowe, instalacje odgromowe, magazyn energii, słupy monitoringu oraz pozostałe oprzyrządowanie) służącej do wytwarzania energii elektrycznej z energii słonecznej o mocy do 8 MW</w:t>
      </w:r>
      <w:r>
        <w:rPr/>
        <w:t xml:space="preserve"> (</w:t>
      </w:r>
      <w:r>
        <w:rPr>
          <w:rFonts w:cs="Calibri" w:cstheme="minorHAnsi"/>
          <w:color w:val="000000" w:themeColor="text1"/>
          <w:szCs w:val="24"/>
        </w:rPr>
        <w:t xml:space="preserve">dopuszcza się możliwość realizacji przedsięwzięcia w podziale na etapy - do 8 etapów). </w:t>
      </w:r>
    </w:p>
    <w:p>
      <w:pPr>
        <w:pStyle w:val="Normal"/>
        <w:shd w:val="clear" w:color="auto" w:fill="FFFFFF" w:themeFill="background1"/>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ind w:left="-284" w:firstLine="568"/>
        <w:rPr>
          <w:rFonts w:ascii="Calibri" w:hAnsi="Calibri" w:cs="Calibri" w:asciiTheme="minorHAnsi" w:cstheme="minorHAnsi" w:hAnsiTheme="minorHAnsi"/>
          <w:highlight w:val="white"/>
        </w:rPr>
      </w:pPr>
      <w:r>
        <w:rPr>
          <w:rFonts w:cs="Calibri" w:cstheme="minorHAnsi"/>
        </w:rPr>
        <w:t xml:space="preserve">Według planu zostanie wykonana instalacja o mocy do 8 MW. W ramach niniejszej inwestycji planuje się montaż następujących elementów: </w:t>
      </w:r>
    </w:p>
    <w:p>
      <w:pPr>
        <w:pStyle w:val="ListParagraph"/>
        <w:numPr>
          <w:ilvl w:val="0"/>
          <w:numId w:val="2"/>
        </w:numPr>
        <w:spacing w:lineRule="auto" w:line="240" w:before="0" w:after="28"/>
        <w:ind w:left="-284" w:hanging="0"/>
        <w:contextualSpacing/>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panele fotowoltaiczne o łącznej mocy nominalnej do 8 MW, </w:t>
      </w:r>
    </w:p>
    <w:p>
      <w:pPr>
        <w:pStyle w:val="Normal"/>
        <w:numPr>
          <w:ilvl w:val="0"/>
          <w:numId w:val="2"/>
        </w:numPr>
        <w:spacing w:lineRule="auto" w:line="240" w:before="0" w:after="42"/>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konstrukcja nośna do instalacji paneli (tzw. stoły fotowoltaiczne) pod kątem nachylenia 0-90 stopni orientacji południowej usytuowanej na gruncie, </w:t>
      </w:r>
    </w:p>
    <w:p>
      <w:pPr>
        <w:pStyle w:val="Normal"/>
        <w:numPr>
          <w:ilvl w:val="0"/>
          <w:numId w:val="2"/>
        </w:numPr>
        <w:spacing w:lineRule="auto" w:line="240" w:before="0" w:after="52"/>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falowniki (inwertery) przekształcające energię prądu stałego na energię prądu zmiennego </w:t>
        <w:br/>
        <w:t xml:space="preserve">o parametrach dostosowanych do sieci odbiorczej, </w:t>
      </w:r>
    </w:p>
    <w:p>
      <w:pPr>
        <w:pStyle w:val="Normal"/>
        <w:numPr>
          <w:ilvl w:val="0"/>
          <w:numId w:val="2"/>
        </w:numPr>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instalacja monitorująca ilość wyprodukowanej energii oraz pracę elektrowni słonecznej,  </w:t>
      </w:r>
    </w:p>
    <w:p>
      <w:pPr>
        <w:pStyle w:val="Normal"/>
        <w:numPr>
          <w:ilvl w:val="0"/>
          <w:numId w:val="2"/>
        </w:numPr>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stacja kontenerowa wraz z transformatorem i linią kablową doziemną,  </w:t>
      </w:r>
    </w:p>
    <w:p>
      <w:pPr>
        <w:pStyle w:val="Normal"/>
        <w:numPr>
          <w:ilvl w:val="0"/>
          <w:numId w:val="2"/>
        </w:numPr>
        <w:spacing w:lineRule="auto" w:line="240" w:before="0" w:after="15"/>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ogrodzenie, </w:t>
      </w:r>
    </w:p>
    <w:p>
      <w:pPr>
        <w:pStyle w:val="Normal"/>
        <w:numPr>
          <w:ilvl w:val="0"/>
          <w:numId w:val="2"/>
        </w:numPr>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instalacja odgromowa i zabezpieczająca, </w:t>
      </w:r>
    </w:p>
    <w:p>
      <w:pPr>
        <w:pStyle w:val="Normal"/>
        <w:numPr>
          <w:ilvl w:val="0"/>
          <w:numId w:val="2"/>
        </w:numPr>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dopuszcza się posadowienie magazynów energii, </w:t>
      </w:r>
    </w:p>
    <w:p>
      <w:pPr>
        <w:pStyle w:val="Normal"/>
        <w:numPr>
          <w:ilvl w:val="0"/>
          <w:numId w:val="2"/>
        </w:numPr>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pozostałe elementy infrastruktury niezbędne do funkcjonowania wyżej wymienionej inwestycji.  </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Plan rozmieszczenia paneli fotowoltaicznych na przedmiotowej działce a także rodzaj dobranej technologii zostanie dokonany zachowując zasady zrównoważonego rozwoju, z zachowaniem walorów przyrodniczych.</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Celem przedsięwzięcia jest poprawa efektywności energetycznej, a  także spełnienie wymogów pakietu klimatycznego, poprzez wytwarzanie energii elektrycznej z odnawialnych źródeł energii.</w:t>
      </w:r>
    </w:p>
    <w:p>
      <w:pPr>
        <w:pStyle w:val="Normal"/>
        <w:spacing w:lineRule="auto" w:line="240"/>
        <w:ind w:left="-284" w:firstLine="568"/>
        <w:rPr/>
      </w:pPr>
      <w:r>
        <w:rPr/>
      </w:r>
      <w:bookmarkStart w:id="11" w:name="_Hlk34228613"/>
      <w:bookmarkStart w:id="12" w:name="_Hlk34228613"/>
      <w:bookmarkEnd w:id="12"/>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r>
        <w:rPr>
          <w:rFonts w:cs="Calibri" w:cstheme="minorHAnsi"/>
          <w:color w:val="000000" w:themeColor="text1"/>
          <w:szCs w:val="24"/>
        </w:rPr>
        <w:t xml:space="preserve">Ogniwa fotowoltaiczne zwane bateriami słonecznymi, to urządzenia w postaci cienkich półprzewodnikowych płytek wykonanych z krzemu (ogniwa I generacji), cienkich warstw półprzewodnika (ogniwa II generacji) bądź specjalnego barwnika pozbawionego złącz P-N (ogniwa III generacji), które pod wpływem promieniowania produkują energię elektryczną. Uzyskana w ten sposób energia będzie przekazana do zakładu energetycznego, a następnie wprowadzona do Krajowej Sieci Energetycznej. </w:t>
      </w:r>
    </w:p>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15"/>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Przewidywany okres eksploatacji farmy fotowoltaicznej wynosi 25 lat. W ramach inwestycji planowany jest montaż paneli fotowoltaicznych o mocy jednostkowej do 1500 Wp w ilości odpowiadającej do 8 MW w celu dokonywania konwersji energii promieniowania słonecznego na energię elektryczną i odprowadzanie wytworzonej energii do sieci operatora.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u w:val="single"/>
        </w:rPr>
      </w:pPr>
      <w:r>
        <w:rPr>
          <w:rFonts w:cs="Calibri" w:cstheme="minorHAnsi"/>
          <w:color w:val="000000" w:themeColor="text1"/>
          <w:szCs w:val="24"/>
          <w:u w:val="single"/>
        </w:rPr>
        <w:t xml:space="preserve">Dane dotyczące ilości paneli są tylko i wyłącznie poglądowe i szacowane, mogą on ulec zmianie w związku z postępem technologicznym oraz optymalizacją ekonomiczną. </w:t>
      </w:r>
    </w:p>
    <w:p>
      <w:pPr>
        <w:pStyle w:val="Normal"/>
        <w:spacing w:lineRule="auto" w:line="240"/>
        <w:ind w:left="-284" w:firstLine="568"/>
        <w:rPr>
          <w:rFonts w:ascii="Calibri" w:hAnsi="Calibri" w:cs="Calibri" w:asciiTheme="minorHAnsi" w:cstheme="minorHAnsi" w:hAnsiTheme="minorHAnsi"/>
          <w:color w:val="000000" w:themeColor="text1"/>
          <w:szCs w:val="24"/>
          <w:u w:val="single"/>
        </w:rPr>
      </w:pPr>
      <w:r>
        <w:rPr>
          <w:rFonts w:cs="Calibri" w:cstheme="minorHAnsi"/>
          <w:color w:val="000000" w:themeColor="text1"/>
          <w:szCs w:val="24"/>
          <w:u w:val="single"/>
        </w:rPr>
      </w:r>
    </w:p>
    <w:p>
      <w:pPr>
        <w:pStyle w:val="Normal"/>
        <w:spacing w:lineRule="auto" w:line="240"/>
        <w:ind w:left="-284" w:firstLine="568"/>
        <w:rPr/>
      </w:pPr>
      <w:r>
        <w:rPr/>
      </w:r>
      <w:bookmarkStart w:id="13" w:name="_Hlk34228463"/>
      <w:bookmarkStart w:id="14" w:name="_Hlk34228463"/>
      <w:bookmarkEnd w:id="14"/>
    </w:p>
    <w:p>
      <w:pPr>
        <w:pStyle w:val="Normal"/>
        <w:ind w:left="0" w:hanging="284"/>
        <w:rPr>
          <w:rFonts w:ascii="Calibri" w:hAnsi="Calibri" w:cs="Calibri" w:asciiTheme="minorHAnsi" w:cstheme="minorHAnsi" w:hAnsiTheme="minorHAnsi"/>
          <w:highlight w:val="white"/>
          <w:u w:val="single"/>
        </w:rPr>
      </w:pPr>
      <w:r>
        <w:rPr>
          <w:rFonts w:cs="Calibri" w:cstheme="minorHAnsi"/>
          <w:u w:val="single"/>
          <w:shd w:fill="FFFFFF" w:val="clear"/>
        </w:rPr>
        <w:t xml:space="preserve">Podstawowe cechy planowanego przedsięwzięcia: </w:t>
      </w:r>
    </w:p>
    <w:p>
      <w:pPr>
        <w:pStyle w:val="Normal"/>
        <w:ind w:left="0" w:hanging="269"/>
        <w:rPr>
          <w:rFonts w:ascii="Calibri" w:hAnsi="Calibri" w:cs="Calibri" w:asciiTheme="minorHAnsi" w:cstheme="minorHAnsi" w:hAnsiTheme="minorHAnsi"/>
          <w:highlight w:val="white"/>
        </w:rPr>
      </w:pPr>
      <w:r>
        <w:rPr>
          <w:rFonts w:cs="Calibri" w:cstheme="minorHAnsi"/>
          <w:shd w:fill="FFFFFF" w:val="clear"/>
        </w:rPr>
        <w:t>•</w:t>
      </w:r>
      <w:r>
        <w:rPr>
          <w:rFonts w:cs="Calibri" w:cstheme="minorHAnsi"/>
          <w:shd w:fill="FFFFFF" w:val="clear"/>
        </w:rPr>
        <w:tab/>
        <w:t>Rodzaj przedsięwzięcia: budowa farmy fotowoltaicznej o łącznej mocy do 8 MW wraz z infrastrukturą towarzyszącą</w:t>
      </w:r>
      <w:r>
        <w:rPr/>
        <w:t xml:space="preserve"> (</w:t>
      </w:r>
      <w:r>
        <w:rPr>
          <w:rFonts w:cs="Calibri" w:cstheme="minorHAnsi"/>
          <w:shd w:fill="FFFFFF" w:val="clear"/>
        </w:rPr>
        <w:t>dopuszcza się możliwość realizacji przedsięwzięcia w podziale na etapy - do 8 etapów),</w:t>
      </w:r>
    </w:p>
    <w:p>
      <w:pPr>
        <w:pStyle w:val="Normal"/>
        <w:ind w:left="0" w:hanging="269"/>
        <w:rPr>
          <w:rFonts w:ascii="Calibri" w:hAnsi="Calibri" w:cs="Calibri" w:asciiTheme="minorHAnsi" w:cstheme="minorHAnsi" w:hAnsiTheme="minorHAnsi"/>
          <w:highlight w:val="white"/>
        </w:rPr>
      </w:pPr>
      <w:r>
        <w:rPr>
          <w:rFonts w:cs="Calibri" w:cstheme="minorHAnsi"/>
          <w:shd w:fill="FFFFFF" w:val="clear"/>
        </w:rPr>
        <w:t>•</w:t>
      </w:r>
      <w:r>
        <w:rPr>
          <w:rFonts w:cs="Calibri" w:cstheme="minorHAnsi"/>
          <w:shd w:fill="FFFFFF" w:val="clear"/>
        </w:rPr>
        <w:tab/>
        <w:t>Docelowa moc przyłączeniowa: do 8 MW,</w:t>
      </w:r>
    </w:p>
    <w:p>
      <w:pPr>
        <w:pStyle w:val="Normal"/>
        <w:ind w:left="0" w:hanging="269"/>
        <w:rPr>
          <w:rFonts w:ascii="Calibri" w:hAnsi="Calibri" w:cs="Calibri" w:asciiTheme="minorHAnsi" w:cstheme="minorHAnsi" w:hAnsiTheme="minorHAnsi"/>
          <w:highlight w:val="white"/>
        </w:rPr>
      </w:pPr>
      <w:r>
        <w:rPr>
          <w:rFonts w:cs="Calibri" w:cstheme="minorHAnsi"/>
          <w:shd w:fill="FFFFFF" w:val="clear"/>
        </w:rPr>
        <w:t>•</w:t>
      </w:r>
      <w:r>
        <w:rPr>
          <w:rFonts w:cs="Calibri" w:cstheme="minorHAnsi"/>
          <w:shd w:fill="FFFFFF" w:val="clear"/>
        </w:rPr>
        <w:tab/>
        <w:t>Całkowita powierzchnia wykorzystana pod przedsięwzięcie: do 7,73 ha,</w:t>
      </w:r>
    </w:p>
    <w:p>
      <w:pPr>
        <w:pStyle w:val="Normal"/>
        <w:ind w:left="0" w:hanging="269"/>
        <w:rPr>
          <w:rFonts w:ascii="Calibri" w:hAnsi="Calibri" w:cs="Calibri" w:asciiTheme="minorHAnsi" w:cstheme="minorHAnsi" w:hAnsiTheme="minorHAnsi"/>
          <w:highlight w:val="white"/>
        </w:rPr>
      </w:pPr>
      <w:r>
        <w:rPr>
          <w:rFonts w:cs="Calibri" w:cstheme="minorHAnsi"/>
          <w:shd w:fill="FFFFFF" w:val="clear"/>
        </w:rPr>
        <w:t>•</w:t>
      </w:r>
      <w:r>
        <w:rPr>
          <w:rFonts w:cs="Calibri" w:cstheme="minorHAnsi"/>
          <w:shd w:fill="FFFFFF" w:val="clear"/>
        </w:rPr>
        <w:tab/>
        <w:t>Powierzchnia zajmowana przez stoły paneli fotowoltaicznych: do 39 720 m</w:t>
      </w:r>
      <w:r>
        <w:rPr>
          <w:rFonts w:cs="Calibri" w:cstheme="minorHAnsi"/>
          <w:shd w:fill="FFFFFF" w:val="clear"/>
          <w:vertAlign w:val="superscript"/>
        </w:rPr>
        <w:t>2</w:t>
      </w:r>
      <w:r>
        <w:rPr>
          <w:rFonts w:cs="Calibri" w:cstheme="minorHAnsi"/>
          <w:shd w:fill="FFFFFF" w:val="clear"/>
        </w:rPr>
        <w:t>,</w:t>
      </w:r>
    </w:p>
    <w:p>
      <w:pPr>
        <w:pStyle w:val="Normal"/>
        <w:ind w:left="0" w:hanging="269"/>
        <w:rPr>
          <w:rFonts w:ascii="Calibri" w:hAnsi="Calibri" w:cs="Calibri" w:asciiTheme="minorHAnsi" w:cstheme="minorHAnsi" w:hAnsiTheme="minorHAnsi"/>
          <w:highlight w:val="white"/>
        </w:rPr>
      </w:pPr>
      <w:r>
        <w:rPr>
          <w:rFonts w:cs="Calibri" w:cstheme="minorHAnsi"/>
          <w:shd w:fill="FFFFFF" w:val="clear"/>
        </w:rPr>
        <w:t>•</w:t>
      </w:r>
      <w:r>
        <w:rPr>
          <w:rFonts w:cs="Calibri" w:cstheme="minorHAnsi"/>
          <w:shd w:fill="FFFFFF" w:val="clear"/>
        </w:rPr>
        <w:tab/>
        <w:t>Obszar zajęty przez stację kontenerową: max do 400 m</w:t>
      </w:r>
      <w:r>
        <w:rPr>
          <w:rFonts w:cs="Calibri" w:cstheme="minorHAnsi"/>
          <w:shd w:fill="FFFFFF" w:val="clear"/>
          <w:vertAlign w:val="superscript"/>
        </w:rPr>
        <w:t>2</w:t>
      </w:r>
      <w:r>
        <w:rPr>
          <w:rFonts w:cs="Calibri" w:cstheme="minorHAnsi"/>
          <w:shd w:fill="FFFFFF" w:val="clear"/>
        </w:rPr>
        <w:t>.</w:t>
      </w:r>
    </w:p>
    <w:p>
      <w:pPr>
        <w:pStyle w:val="Normal"/>
        <w:tabs>
          <w:tab w:val="clear" w:pos="708"/>
          <w:tab w:val="center" w:pos="2109" w:leader="none"/>
        </w:tabs>
        <w:spacing w:lineRule="auto" w:line="240" w:before="0" w:after="0"/>
        <w:ind w:left="-284" w:hanging="0"/>
        <w:jc w:val="left"/>
        <w:rPr>
          <w:rFonts w:ascii="Calibri" w:hAnsi="Calibri" w:cs="Calibri" w:asciiTheme="minorHAnsi" w:cstheme="minorHAnsi" w:hAnsiTheme="minorHAnsi"/>
          <w:color w:val="000000" w:themeColor="text1"/>
          <w:szCs w:val="24"/>
          <w:u w:val="single" w:color="1E000F"/>
        </w:rPr>
      </w:pPr>
      <w:r>
        <w:rPr>
          <w:rFonts w:cs="Calibri" w:cstheme="minorHAnsi"/>
          <w:color w:val="000000" w:themeColor="text1"/>
          <w:szCs w:val="24"/>
          <w:u w:val="single" w:color="1E000F"/>
        </w:rPr>
      </w:r>
    </w:p>
    <w:p>
      <w:pPr>
        <w:pStyle w:val="Normal"/>
        <w:tabs>
          <w:tab w:val="clear" w:pos="708"/>
          <w:tab w:val="center" w:pos="2109" w:leader="none"/>
        </w:tabs>
        <w:spacing w:lineRule="auto" w:line="240" w:before="0" w:after="0"/>
        <w:ind w:left="-284" w:hanging="0"/>
        <w:jc w:val="left"/>
        <w:rPr>
          <w:rFonts w:ascii="Calibri" w:hAnsi="Calibri" w:cs="Calibri" w:asciiTheme="minorHAnsi" w:cstheme="minorHAnsi" w:hAnsiTheme="minorHAnsi"/>
          <w:color w:val="auto"/>
          <w:szCs w:val="24"/>
        </w:rPr>
      </w:pPr>
      <w:r>
        <w:rPr>
          <w:rFonts w:cs="Calibri" w:cstheme="minorHAnsi"/>
          <w:color w:val="auto"/>
          <w:szCs w:val="24"/>
          <w:u w:val="single" w:color="1E000F"/>
        </w:rPr>
        <w:t>Usytuowanie przedsięwzięcia</w:t>
      </w:r>
      <w:r>
        <w:rPr>
          <w:rFonts w:cs="Calibri" w:cstheme="minorHAnsi"/>
          <w:color w:val="auto"/>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Teren przedsięwzięcia zlokalizowany jest w miejscowości Szczukocice, gmina Gorzkowice, powiat piotrowski, województwo łódzkie.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Obręb Szczukocie gm. Gorzkowice jest położony w południowej części województwa podkarpackiego. Administracyjnie należy do powiatu piotrkowskiego. Ludność gminy Gorzkowice według spisu ludności w 2007 wynosi </w:t>
      </w:r>
      <w:r>
        <w:rPr>
          <w:rFonts w:cs="Calibri" w:cstheme="minorHAnsi"/>
          <w:color w:val="000000" w:themeColor="text1"/>
          <w:szCs w:val="24"/>
          <w:shd w:fill="FFFFFF" w:val="clear"/>
        </w:rPr>
        <w:t>8649 osób</w:t>
      </w:r>
      <w:r>
        <w:rPr>
          <w:rFonts w:cs="Calibri" w:cstheme="minorHAnsi"/>
          <w:color w:val="000000" w:themeColor="text1"/>
          <w:szCs w:val="24"/>
        </w:rPr>
        <w:t xml:space="preserve">. Według danych z roku 2007 gmina Gorzkowice ma obszar 102, 17 ², w tym: </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użytki rolne: 76%</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użytki leśne: 15%</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Gmina stanowi 7,15% powierzchni powiatu piotrkowskiego.</w:t>
      </w:r>
    </w:p>
    <w:p>
      <w:pPr>
        <w:pStyle w:val="Normal"/>
        <w:tabs>
          <w:tab w:val="clear" w:pos="708"/>
          <w:tab w:val="center" w:pos="2359" w:leader="none"/>
        </w:tabs>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tabs>
          <w:tab w:val="clear" w:pos="708"/>
          <w:tab w:val="center" w:pos="2359" w:leader="none"/>
        </w:tabs>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42"/>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Najbliższe zabudowania mieszkalne</w:t>
      </w:r>
      <w:r>
        <w:rPr>
          <w:rFonts w:cs="Calibri" w:cstheme="minorHAnsi"/>
          <w:color w:val="FF0000"/>
          <w:szCs w:val="24"/>
        </w:rPr>
        <w:t xml:space="preserve"> </w:t>
      </w:r>
      <w:r>
        <w:rPr>
          <w:rFonts w:cs="Calibri" w:cstheme="minorHAnsi"/>
          <w:color w:val="000000" w:themeColor="text1"/>
          <w:szCs w:val="24"/>
        </w:rPr>
        <w:t xml:space="preserve">od terenu planowanej inwestycji znajdują się: </w:t>
      </w:r>
    </w:p>
    <w:p>
      <w:pPr>
        <w:pStyle w:val="Normal"/>
        <w:numPr>
          <w:ilvl w:val="0"/>
          <w:numId w:val="1"/>
        </w:numPr>
        <w:spacing w:lineRule="auto" w:line="240" w:before="0" w:after="15"/>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ok. 435 m w kierunku północno-wschodnim,</w:t>
      </w:r>
    </w:p>
    <w:p>
      <w:pPr>
        <w:pStyle w:val="Normal"/>
        <w:numPr>
          <w:ilvl w:val="0"/>
          <w:numId w:val="1"/>
        </w:numPr>
        <w:spacing w:lineRule="auto" w:line="240" w:before="0" w:after="15"/>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ok. 415 m w kierunku wschodnim,</w:t>
      </w:r>
    </w:p>
    <w:p>
      <w:pPr>
        <w:pStyle w:val="Normal"/>
        <w:numPr>
          <w:ilvl w:val="0"/>
          <w:numId w:val="1"/>
        </w:numPr>
        <w:spacing w:lineRule="auto" w:line="240" w:before="0" w:after="15"/>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ok. 110 m w kierunku południowo-zachodnim,</w:t>
      </w:r>
    </w:p>
    <w:p>
      <w:pPr>
        <w:pStyle w:val="Normal"/>
        <w:numPr>
          <w:ilvl w:val="0"/>
          <w:numId w:val="1"/>
        </w:numPr>
        <w:spacing w:lineRule="auto" w:line="240" w:before="0" w:after="15"/>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ok. 335 m w kierunku północno-zachodnim.</w:t>
      </w:r>
    </w:p>
    <w:p>
      <w:pPr>
        <w:pStyle w:val="Normal"/>
        <w:spacing w:before="0" w:after="42"/>
        <w:ind w:left="76" w:right="158" w:hanging="0"/>
        <w:rPr>
          <w:rFonts w:ascii="Calibri" w:hAnsi="Calibri" w:asciiTheme="minorHAnsi" w:hAnsiTheme="minorHAnsi"/>
          <w:color w:val="auto"/>
        </w:rPr>
      </w:pPr>
      <w:r>
        <w:rPr>
          <w:rFonts w:asciiTheme="minorHAnsi" w:hAnsiTheme="minorHAnsi"/>
          <w:color w:val="auto"/>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15"/>
        <w:ind w:left="0" w:hanging="0"/>
        <w:rPr>
          <w:rFonts w:ascii="Calibri" w:hAnsi="Calibri" w:cs="Calibri" w:asciiTheme="minorHAnsi" w:cstheme="minorHAnsi" w:hAnsiTheme="minorHAnsi"/>
          <w:color w:val="000000" w:themeColor="text1"/>
          <w:szCs w:val="24"/>
        </w:rPr>
      </w:pPr>
      <w:r>
        <w:rPr/>
        <w:drawing>
          <wp:inline distT="0" distB="0" distL="0" distR="0">
            <wp:extent cx="6120765" cy="3860165"/>
            <wp:effectExtent l="0" t="0" r="0" b="0"/>
            <wp:docPr id="3"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descr=""/>
                    <pic:cNvPicPr>
                      <a:picLocks noChangeAspect="1" noChangeArrowheads="1"/>
                    </pic:cNvPicPr>
                  </pic:nvPicPr>
                  <pic:blipFill>
                    <a:blip r:embed="rId3"/>
                    <a:stretch>
                      <a:fillRect/>
                    </a:stretch>
                  </pic:blipFill>
                  <pic:spPr bwMode="auto">
                    <a:xfrm>
                      <a:off x="0" y="0"/>
                      <a:ext cx="6120765" cy="3860165"/>
                    </a:xfrm>
                    <a:prstGeom prst="rect">
                      <a:avLst/>
                    </a:prstGeom>
                  </pic:spPr>
                </pic:pic>
              </a:graphicData>
            </a:graphic>
          </wp:inline>
        </w:drawing>
      </w:r>
    </w:p>
    <w:p>
      <w:pPr>
        <w:pStyle w:val="Normal"/>
        <w:keepNext w:val="true"/>
        <w:spacing w:lineRule="auto" w:line="240" w:before="0" w:after="15"/>
        <w:ind w:left="-284" w:hanging="0"/>
        <w:jc w:val="center"/>
        <w:rPr/>
      </w:pPr>
      <w:r>
        <w:rPr/>
      </w:r>
    </w:p>
    <w:p>
      <w:pPr>
        <w:pStyle w:val="Caption"/>
        <w:jc w:val="center"/>
        <w:rPr>
          <w:b w:val="false"/>
          <w:b w:val="false"/>
          <w:bCs w:val="false"/>
          <w:color w:val="auto"/>
          <w:sz w:val="20"/>
          <w:szCs w:val="20"/>
        </w:rPr>
      </w:pPr>
      <w:r>
        <mc:AlternateContent>
          <mc:Choice Requires="wps">
            <w:drawing>
              <wp:anchor behindDoc="0" distT="0" distB="0" distL="0" distR="0" simplePos="0" locked="0" layoutInCell="1" allowOverlap="1" relativeHeight="38" wp14:anchorId="1B91BBA5">
                <wp:simplePos x="0" y="0"/>
                <wp:positionH relativeFrom="column">
                  <wp:posOffset>2752725</wp:posOffset>
                </wp:positionH>
                <wp:positionV relativeFrom="paragraph">
                  <wp:posOffset>302260</wp:posOffset>
                </wp:positionV>
                <wp:extent cx="446405" cy="519430"/>
                <wp:effectExtent l="0" t="38100" r="50165" b="15875"/>
                <wp:wrapNone/>
                <wp:docPr id="4" name="Łącznik prosty ze strzałką 5"/>
                <a:graphic xmlns:a="http://schemas.openxmlformats.org/drawingml/2006/main">
                  <a:graphicData uri="http://schemas.microsoft.com/office/word/2010/wordprocessingShape">
                    <wps:wsp>
                      <wps:cNvSpPr/>
                      <wps:spPr>
                        <a:xfrm flipV="1">
                          <a:off x="0" y="0"/>
                          <a:ext cx="445680" cy="518760"/>
                        </a:xfrm>
                        <a:custGeom>
                          <a:avLst/>
                          <a:gdLst/>
                          <a:ahLst/>
                          <a:rect l="l" t="t" r="r" b="b"/>
                          <a:pathLst>
                            <a:path w="21600" h="21600">
                              <a:moveTo>
                                <a:pt x="0" y="0"/>
                              </a:moveTo>
                              <a:lnTo>
                                <a:pt x="21600" y="21600"/>
                              </a:lnTo>
                            </a:path>
                          </a:pathLst>
                        </a:custGeom>
                        <a:noFill/>
                        <a:ln>
                          <a:solidFill>
                            <a:schemeClr val="bg1"/>
                          </a:solidFill>
                          <a:tailEnd len="med" type="triangle" w="med"/>
                        </a:ln>
                      </wps:spPr>
                      <wps:style>
                        <a:lnRef idx="1">
                          <a:schemeClr val="accent1"/>
                        </a:lnRef>
                        <a:fillRef idx="0">
                          <a:schemeClr val="accent1"/>
                        </a:fillRef>
                        <a:effectRef idx="0">
                          <a:schemeClr val="accent1"/>
                        </a:effectRef>
                        <a:fontRef idx="minor"/>
                      </wps:style>
                      <wps:bodyPr/>
                    </wps:wsp>
                  </a:graphicData>
                </a:graphic>
              </wp:anchor>
            </w:drawing>
          </mc:Choice>
          <mc:Fallback>
            <w:pict/>
          </mc:Fallback>
        </mc:AlternateContent>
      </w:r>
      <w:r>
        <w:rPr/>
        <w:t xml:space="preserve"> </w:t>
      </w:r>
      <w:r>
        <w:rPr>
          <w:b w:val="false"/>
          <w:bCs w:val="false"/>
          <w:color w:val="auto"/>
          <w:sz w:val="20"/>
          <w:szCs w:val="20"/>
        </w:rPr>
        <w:t xml:space="preserve">Rysunek </w:t>
      </w:r>
      <w:r>
        <w:rPr>
          <w:b w:val="false"/>
          <w:bCs w:val="false"/>
          <w:sz w:val="20"/>
          <w:szCs w:val="20"/>
        </w:rPr>
        <w:fldChar w:fldCharType="begin"/>
      </w:r>
      <w:r>
        <w:rPr>
          <w:sz w:val="20"/>
          <w:b w:val="false"/>
          <w:szCs w:val="20"/>
          <w:bCs w:val="false"/>
        </w:rPr>
        <w:instrText> SEQ Rysunek \* ARABIC </w:instrText>
      </w:r>
      <w:r>
        <w:rPr>
          <w:sz w:val="20"/>
          <w:b w:val="false"/>
          <w:szCs w:val="20"/>
          <w:bCs w:val="false"/>
        </w:rPr>
        <w:fldChar w:fldCharType="separate"/>
      </w:r>
      <w:r>
        <w:rPr>
          <w:sz w:val="20"/>
          <w:b w:val="false"/>
          <w:szCs w:val="20"/>
          <w:bCs w:val="false"/>
        </w:rPr>
        <w:t>1</w:t>
      </w:r>
      <w:r>
        <w:rPr>
          <w:sz w:val="20"/>
          <w:b w:val="false"/>
          <w:szCs w:val="20"/>
          <w:bCs w:val="false"/>
        </w:rPr>
        <w:fldChar w:fldCharType="end"/>
      </w:r>
      <w:r>
        <w:rPr>
          <w:b w:val="false"/>
          <w:bCs w:val="false"/>
          <w:color w:val="auto"/>
          <w:sz w:val="20"/>
          <w:szCs w:val="20"/>
        </w:rPr>
        <w:t xml:space="preserve"> Odległość od sąsiedniej zabudowy.</w:t>
      </w:r>
    </w:p>
    <w:p>
      <w:pPr>
        <w:pStyle w:val="Normal"/>
        <w:rPr>
          <w:lang w:eastAsia="zh-CN"/>
        </w:rPr>
      </w:pPr>
      <w:r>
        <w:rPr>
          <w:lang w:eastAsia="zh-CN"/>
        </w:rPr>
      </w:r>
    </w:p>
    <w:p>
      <w:pPr>
        <w:pStyle w:val="Normal"/>
        <w:ind w:left="-284" w:right="158" w:firstLine="284"/>
        <w:rPr>
          <w:rFonts w:ascii="Calibri" w:hAnsi="Calibri" w:asciiTheme="minorHAnsi" w:hAnsiTheme="minorHAnsi"/>
          <w:color w:val="auto"/>
        </w:rPr>
      </w:pPr>
      <w:r>
        <w:rPr>
          <w:rFonts w:asciiTheme="minorHAnsi" w:hAnsiTheme="minorHAnsi"/>
          <w:color w:val="auto"/>
        </w:rPr>
        <w:t xml:space="preserve">Działki o nr ewid. 157, 158/1, 158/2, 159, 160 na których są planowane inwestycje graniczą z terenami roślinności trawiastej lub upraw rolniczych od strony północnej, wschodniej i zachodniej oraz drogą znajdującymi się na działce 325 od strony  południowej. Część powierzchni działek (ok. 7,73 ha) o nr ewid157, 158/1, 158/2, 159, 160 będzie przeznaczona pod zabudowę instalacji fotowoltaicznej. </w:t>
      </w:r>
    </w:p>
    <w:p>
      <w:pPr>
        <w:pStyle w:val="Normal"/>
        <w:spacing w:lineRule="auto" w:line="240"/>
        <w:ind w:left="-284" w:firstLine="568"/>
        <w:rPr>
          <w:rFonts w:ascii="Calibri" w:hAnsi="Calibri" w:asciiTheme="minorHAnsi" w:hAnsiTheme="minorHAnsi"/>
          <w:color w:val="000000" w:themeColor="text1"/>
        </w:rPr>
      </w:pPr>
      <w:r>
        <w:rPr>
          <w:rFonts w:asciiTheme="minorHAnsi" w:hAnsiTheme="minorHAnsi"/>
          <w:color w:val="000000" w:themeColor="text1"/>
        </w:rPr>
        <w:t xml:space="preserve">Dla terenu, na którym planowana jest inwestycja nie obowiązuje miejscowy plan zagospodarowania przestrzennego. </w:t>
      </w:r>
    </w:p>
    <w:p>
      <w:pPr>
        <w:pStyle w:val="Normal"/>
        <w:tabs>
          <w:tab w:val="clear" w:pos="708"/>
          <w:tab w:val="center" w:pos="2359" w:leader="none"/>
        </w:tabs>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tabs>
          <w:tab w:val="clear" w:pos="708"/>
          <w:tab w:val="center" w:pos="2359" w:leader="none"/>
        </w:tabs>
        <w:spacing w:lineRule="auto" w:line="240" w:before="0" w:after="0"/>
        <w:ind w:left="-142"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r>
        <w:rPr>
          <w:rFonts w:cs="Calibri" w:cstheme="minorHAnsi"/>
          <w:color w:val="000000" w:themeColor="text1"/>
          <w:szCs w:val="24"/>
        </w:rPr>
        <w:tab/>
        <w:t>Przykładowe zagospodarowanie terenu przedstawiono na załączniku graficznym dołączonym do KIP.</w:t>
      </w:r>
    </w:p>
    <w:p>
      <w:pPr>
        <w:pStyle w:val="Normal"/>
        <w:keepNext w:val="true"/>
        <w:spacing w:lineRule="auto" w:line="240" w:before="0" w:after="0"/>
        <w:ind w:left="-284" w:hanging="0"/>
        <w:jc w:val="center"/>
        <w:rPr/>
      </w:pPr>
      <w:r>
        <w:rPr/>
      </w:r>
    </w:p>
    <w:p>
      <w:pPr>
        <w:pStyle w:val="Nagwek1"/>
        <w:numPr>
          <w:ilvl w:val="0"/>
          <w:numId w:val="14"/>
        </w:numPr>
        <w:ind w:left="658" w:right="0" w:hanging="360"/>
        <w:rPr>
          <w:rFonts w:ascii="Calibri" w:hAnsi="Calibri" w:cs="Calibri" w:asciiTheme="minorHAnsi" w:cstheme="minorHAnsi" w:hAnsiTheme="minorHAnsi"/>
        </w:rPr>
      </w:pPr>
      <w:bookmarkStart w:id="15" w:name="_Toc121388975"/>
      <w:r>
        <w:rPr>
          <w:rStyle w:val="Nagwek1Znak"/>
          <w:rFonts w:cs="Calibri" w:cstheme="minorHAnsi"/>
          <w:b/>
        </w:rPr>
        <w:t>Powierzchna zajmowanej nieruchomości, a także obiektu budowlanego oraz dotychczasowy sposób ich wykorzystywania i pokryciu nieruchomości szatą roślinną</w:t>
      </w:r>
      <w:bookmarkEnd w:id="15"/>
    </w:p>
    <w:p>
      <w:pPr>
        <w:pStyle w:val="Normal"/>
        <w:rPr>
          <w:rFonts w:ascii="Calibri" w:hAnsi="Calibri" w:cs="Calibri" w:asciiTheme="minorHAnsi" w:cstheme="minorHAnsi" w:hAnsiTheme="minorHAnsi"/>
          <w:color w:val="666666"/>
          <w:szCs w:val="24"/>
        </w:rPr>
      </w:pPr>
      <w:r>
        <w:rPr>
          <w:rFonts w:cs="Calibri" w:cstheme="minorHAnsi"/>
          <w:color w:val="666666"/>
          <w:szCs w:val="24"/>
        </w:rPr>
      </w:r>
    </w:p>
    <w:p>
      <w:pPr>
        <w:pStyle w:val="Normal"/>
        <w:spacing w:lineRule="auto" w:line="240"/>
        <w:ind w:left="-284" w:firstLine="582"/>
        <w:rPr>
          <w:rFonts w:ascii="Calibri" w:hAnsi="Calibri" w:cs="Calibri" w:asciiTheme="minorHAnsi" w:cstheme="minorHAnsi" w:hAnsiTheme="minorHAnsi"/>
          <w:color w:val="FF0000"/>
          <w:szCs w:val="24"/>
        </w:rPr>
      </w:pPr>
      <w:r>
        <w:rPr>
          <w:rFonts w:cs="Calibri" w:cstheme="minorHAnsi"/>
          <w:color w:val="000000" w:themeColor="text1"/>
          <w:szCs w:val="24"/>
        </w:rPr>
        <w:t>Całkowita powierzchnia nieruchomości, na której planowane jest przedsięwzięcie wynosi</w:t>
        <w:br/>
        <w:t>7,73 ha. Instalacja wolnostojących paneli fotowoltaicznych będzie obejmowała teren o powierzchni do 7,73 ha. Dany teren jest oznaczony jako grunty orne.</w:t>
      </w:r>
      <w:r>
        <w:rPr>
          <w:rFonts w:cs="Calibri" w:cstheme="minorHAnsi"/>
          <w:color w:val="FF0000"/>
          <w:szCs w:val="24"/>
        </w:rPr>
        <w:t xml:space="preserve"> </w:t>
      </w:r>
    </w:p>
    <w:p>
      <w:pPr>
        <w:pStyle w:val="Normal"/>
        <w:spacing w:lineRule="auto" w:line="240"/>
        <w:ind w:left="-284" w:firstLine="582"/>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82"/>
        <w:rPr>
          <w:rFonts w:ascii="Calibri" w:hAnsi="Calibri" w:cs="Calibri" w:asciiTheme="minorHAnsi" w:cstheme="minorHAnsi" w:hAnsiTheme="minorHAnsi"/>
          <w:color w:val="000000" w:themeColor="text1"/>
          <w:szCs w:val="24"/>
        </w:rPr>
      </w:pPr>
      <w:r>
        <w:rPr>
          <w:rFonts w:cs="Calibri" w:cstheme="minorHAnsi"/>
          <w:color w:val="000000" w:themeColor="text1"/>
          <w:szCs w:val="24"/>
        </w:rPr>
        <w:t>Obecnie teren jest porośnięty roślinnością trawiastą. W trakcie eksploatacji instalacji fotowoltaicznej, teren obsiany będzie trawą nisko-rosnącą, która będzie regularnie koszona w okresach największego wzrostu. Koszenie będzie odbywało się mechanicznie, przy użyciu podkaszarek bądź innego sprzętu ogrodniczego. </w:t>
      </w:r>
    </w:p>
    <w:p>
      <w:pPr>
        <w:pStyle w:val="Normal"/>
        <w:spacing w:lineRule="auto" w:line="240"/>
        <w:ind w:left="-284" w:firstLine="709"/>
        <w:rPr>
          <w:rFonts w:ascii="Calibri" w:hAnsi="Calibri" w:cs="Calibri" w:asciiTheme="minorHAnsi" w:cstheme="minorHAnsi" w:hAnsiTheme="minorHAnsi"/>
          <w:color w:val="000000" w:themeColor="text1"/>
          <w:szCs w:val="24"/>
        </w:rPr>
      </w:pPr>
      <w:r>
        <w:rPr>
          <w:rFonts w:cs="Calibri" w:cstheme="minorHAnsi"/>
          <w:color w:val="000000" w:themeColor="text1"/>
          <w:szCs w:val="24"/>
        </w:rPr>
        <w:t>Celem zminimalizowania zagrożenia śmiertelności dla małych zwierząt i oddziaływania na ekosystem, pielęgnacja terenu polegająca na regularnym koszeniu trawy będzie rozpoczynać się od centrum farmy fotowoltaicznej w kierunku jej brzegów. Procedura ma na celu odstraszenie i przepędzenie potencjalnych małych zwierząt z terenu farmy na czas prac ogrodniczych. Trawa będzie koszona regularnie w okresach jej największego wzrostu.   </w:t>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agwek1"/>
        <w:numPr>
          <w:ilvl w:val="0"/>
          <w:numId w:val="14"/>
        </w:numPr>
        <w:ind w:left="658" w:right="0" w:hanging="360"/>
        <w:rPr>
          <w:rFonts w:ascii="Calibri" w:hAnsi="Calibri" w:cs="Calibri" w:asciiTheme="minorHAnsi" w:cstheme="minorHAnsi" w:hAnsiTheme="minorHAnsi"/>
        </w:rPr>
      </w:pPr>
      <w:bookmarkStart w:id="16" w:name="_Toc121388976"/>
      <w:r>
        <w:rPr>
          <w:rFonts w:cs="Calibri" w:cstheme="minorHAnsi"/>
        </w:rPr>
        <w:t>Rodzaj technologii</w:t>
      </w:r>
      <w:bookmarkEnd w:id="16"/>
    </w:p>
    <w:p>
      <w:pPr>
        <w:pStyle w:val="Normal"/>
        <w:spacing w:lineRule="auto" w:line="240" w:before="0" w:after="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Wykorzystana zostanie technologia fotowoltaiczna. Promieniowanie fotowoltaiczne jest przekształcane w elektryczność za pomocą technologii fotowoltaicznych, w których wykorzystywane są materiały półprzewodnikowe o specjalnych właściwościach. Najczęściej stosowanym półprzewodnikiem jest krzem.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Moc systemu fotowoltaicznego podaje się w kWp (ang. Kilo Watts peak). Wartość ta służy do określenia mocy prądu stałego (DC), który może zostać wyprodukowany przez dany system fotowoltaiczny w optymalnym nasłonecznieniu oraz w optymalnej temperaturze. Przed dostarczeniem do urządzeń elektrycznych lub do sieci elektroenergetycznej, prąd stały zamieniany jest w inwerterze na prąd przemienny (AC). Projektowane przedsięwzięcie przewiduje montaż do 29 600 paneli fotowoltaicznych o mocy do 1500 Wp każdy o łącznej mocy do 8 MW, przyłączenie ich do inwerterów oraz przyłącza energetycznego do sieci średniego napięcia (SN). Moduły będą rozmieszczone w rzędach, pomiędzy którymi odległość wynosiła będzie od 2 do 20 m. </w:t>
      </w:r>
      <w:bookmarkStart w:id="17" w:name="_Hlk34312032"/>
      <w:r>
        <w:rPr>
          <w:rFonts w:cs="Calibri" w:cstheme="minorHAnsi"/>
          <w:color w:val="000000" w:themeColor="text1"/>
          <w:szCs w:val="24"/>
        </w:rPr>
        <w:t>Panele fotowoltaiczne będą osłaniać powierzchnię do około 39 720 m</w:t>
      </w:r>
      <w:r>
        <w:rPr>
          <w:rFonts w:cs="Calibri" w:cstheme="minorHAnsi"/>
          <w:color w:val="000000" w:themeColor="text1"/>
          <w:szCs w:val="24"/>
          <w:vertAlign w:val="superscript"/>
        </w:rPr>
        <w:t>2</w:t>
      </w:r>
      <w:r>
        <w:rPr>
          <w:rFonts w:cs="Calibri" w:cstheme="minorHAnsi"/>
          <w:color w:val="000000" w:themeColor="text1"/>
          <w:szCs w:val="24"/>
        </w:rPr>
        <w:t>. Obszar terenu znajdujący się pod konstrukcjami wsporczymi stanowią wolne przestrzenie, które zostaną obsadzone roślinnością trawiastą. Na terenie planowanej inwestycji, na gruncie, zostaną posadowione stacje kontenerowe. Powierzchnia pod stacje kontenerowe będzie wynosić do 4000 m</w:t>
      </w:r>
      <w:r>
        <w:rPr>
          <w:rFonts w:cs="Calibri" w:cstheme="minorHAnsi"/>
          <w:color w:val="000000" w:themeColor="text1"/>
          <w:szCs w:val="24"/>
          <w:vertAlign w:val="superscript"/>
        </w:rPr>
        <w:t>2</w:t>
      </w:r>
      <w:r>
        <w:rPr>
          <w:rFonts w:cs="Calibri" w:cstheme="minorHAnsi"/>
          <w:color w:val="000000" w:themeColor="text1"/>
          <w:szCs w:val="24"/>
        </w:rPr>
        <w:t xml:space="preserve">. Pole powierzchni działki, które będzie wyłączone pod względem biologicznie czynnym, związane jest wyłącznie z powierzchnią zajmowaną przez stacje kontenerowe. Cały teren będzie ogrodzony i monitorowany. Wyprowadzeniem mocy z terenu Instalacji fotowoltaicznej o mocy do 8 MW do sieci lokalnego operatora systemu dystrybucyjnego (OSD) będzie linia SN.  </w:t>
      </w:r>
      <w:bookmarkEnd w:id="17"/>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1</w:t>
      </w:r>
      <w:r>
        <w:rPr>
          <w:sz w:val="22"/>
          <w:b w:val="false"/>
          <w:szCs w:val="22"/>
          <w:bCs w:val="false"/>
        </w:rPr>
        <w:fldChar w:fldCharType="end"/>
      </w:r>
      <w:r>
        <w:rPr>
          <w:b w:val="false"/>
          <w:bCs w:val="false"/>
          <w:color w:val="auto"/>
          <w:sz w:val="22"/>
          <w:szCs w:val="22"/>
        </w:rPr>
        <w:t>. Bilans terenu inwestycji</w:t>
      </w:r>
    </w:p>
    <w:tbl>
      <w:tblPr>
        <w:tblStyle w:val="TableGrid"/>
        <w:tblW w:w="9928" w:type="dxa"/>
        <w:jc w:val="left"/>
        <w:tblInd w:w="-294" w:type="dxa"/>
        <w:tblCellMar>
          <w:top w:w="54" w:type="dxa"/>
          <w:left w:w="110" w:type="dxa"/>
          <w:bottom w:w="0" w:type="dxa"/>
          <w:right w:w="115" w:type="dxa"/>
        </w:tblCellMar>
        <w:tblLook w:firstRow="1" w:noVBand="1" w:lastRow="0" w:firstColumn="1" w:lastColumn="0" w:noHBand="0" w:val="04a0"/>
      </w:tblPr>
      <w:tblGrid>
        <w:gridCol w:w="6368"/>
        <w:gridCol w:w="3559"/>
      </w:tblGrid>
      <w:tr>
        <w:trPr>
          <w:trHeight w:val="350" w:hRule="atLeast"/>
        </w:trPr>
        <w:tc>
          <w:tcPr>
            <w:tcW w:w="636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ind w:left="-10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Obiekt</w:t>
            </w:r>
          </w:p>
        </w:tc>
        <w:tc>
          <w:tcPr>
            <w:tcW w:w="355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ind w:left="-9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Powierzchnia zabudowy</w:t>
            </w:r>
          </w:p>
        </w:tc>
      </w:tr>
      <w:tr>
        <w:trPr>
          <w:trHeight w:val="355" w:hRule="atLeast"/>
        </w:trPr>
        <w:tc>
          <w:tcPr>
            <w:tcW w:w="63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ind w:left="-10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Trafostacja wraz z rozdzielnią nn/SN</w:t>
            </w:r>
          </w:p>
        </w:tc>
        <w:tc>
          <w:tcPr>
            <w:tcW w:w="35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ind w:left="-9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do 400 m</w:t>
            </w:r>
            <w:r>
              <w:rPr>
                <w:rFonts w:cs="Calibri" w:cstheme="minorHAnsi"/>
                <w:color w:val="000000" w:themeColor="text1"/>
                <w:sz w:val="22"/>
                <w:vertAlign w:val="superscript"/>
              </w:rPr>
              <w:t>2</w:t>
            </w:r>
          </w:p>
        </w:tc>
      </w:tr>
      <w:tr>
        <w:trPr>
          <w:trHeight w:val="1353" w:hRule="atLeast"/>
        </w:trPr>
        <w:tc>
          <w:tcPr>
            <w:tcW w:w="63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ind w:left="-10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Panele fotowoltaiczne w rzucie na powierzchnię płaską (inwertery, złącza kablowe i inne elementy montowane na konstrukcji stołów pod panelami)</w:t>
            </w:r>
          </w:p>
        </w:tc>
        <w:tc>
          <w:tcPr>
            <w:tcW w:w="35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ind w:left="-9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do ok. 39 720  m</w:t>
            </w:r>
            <w:r>
              <w:rPr>
                <w:rFonts w:cs="Calibri" w:cstheme="minorHAnsi"/>
                <w:color w:val="000000" w:themeColor="text1"/>
                <w:sz w:val="22"/>
                <w:vertAlign w:val="superscript"/>
              </w:rPr>
              <w:t>2</w:t>
            </w:r>
          </w:p>
        </w:tc>
      </w:tr>
      <w:tr>
        <w:trPr>
          <w:trHeight w:val="305" w:hRule="atLeast"/>
        </w:trPr>
        <w:tc>
          <w:tcPr>
            <w:tcW w:w="6368" w:type="dxa"/>
            <w:tcBorders>
              <w:top w:val="single" w:sz="4" w:space="0" w:color="000000"/>
              <w:right w:val="single" w:sz="4" w:space="0" w:color="000000"/>
            </w:tcBorders>
            <w:shd w:fill="auto" w:val="clear"/>
          </w:tcPr>
          <w:p>
            <w:pPr>
              <w:pStyle w:val="Normal"/>
              <w:spacing w:lineRule="auto" w:line="240" w:before="0" w:after="0"/>
              <w:ind w:left="-284"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 </w:t>
            </w:r>
          </w:p>
        </w:tc>
        <w:tc>
          <w:tcPr>
            <w:tcW w:w="355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ind w:left="-9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do ok. 40 120 m</w:t>
            </w:r>
            <w:r>
              <w:rPr>
                <w:rFonts w:cs="Calibri" w:cstheme="minorHAnsi"/>
                <w:color w:val="000000" w:themeColor="text1"/>
                <w:sz w:val="22"/>
                <w:vertAlign w:val="superscript"/>
              </w:rPr>
              <w:t>2</w:t>
            </w:r>
          </w:p>
        </w:tc>
      </w:tr>
    </w:tbl>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Panele fotowoltaiczne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Panele ustawione będą w pozycji horyzontalnej lub wertykalnej oraz zostaną podłączone do falowników. Zastosowane panele posiadają powłokę antyrefleksyjną, która zmniejsza współczynnik odbicia światła od powierzchni ogniw krzemowych, jednocześnie zwiększając absorpcję promieniowania słonecznego i poprawiając parametry elektryczne ogniwa. Powłoka antyrefleksyjna eliminuje efekt tafli wody.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Falowniki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W instalacji fotowoltaicznej zastosowany zostanie system falowników rozproszonych lub centralnych. Falowniki mają na celu przetworzenie prądu stałego z wyjścia paneli na prąd przemienny dostosowany do sieci dystrybucyjnej.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0"/>
        <w:contextualSpacing/>
        <w:jc w:val="left"/>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Transformator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Przewiduje się zastosowanie do 8 transformatorów -  suchego w izolacji żywicznej lub mokrego w izolacji olejowej, o łącznej mocy do 8 000 kVA i umieszczenie go wewnątrz stacji kontenerowych posadowionych na terenie planowanej inwestycji. </w:t>
      </w:r>
    </w:p>
    <w:p>
      <w:pPr>
        <w:pStyle w:val="ListParagraph"/>
        <w:numPr>
          <w:ilvl w:val="0"/>
          <w:numId w:val="6"/>
        </w:numPr>
        <w:spacing w:lineRule="auto" w:line="24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Transformator suchy ogranicza konieczność wykonywania robót ziemnych pod retencję materiałów płynnych. Żywica oraz zastosowane materiały izolacyjne dają transformatorom wysokie parametry samogaszące, natomiast dzięki systemowi chłodzenia powietrzem naturalnym unika się wydostania płynów chłodzących, które mogłyby spowodować zanieczyszczenie środowiska zewnętrznego. </w:t>
      </w:r>
    </w:p>
    <w:p>
      <w:pPr>
        <w:pStyle w:val="ListParagraph"/>
        <w:numPr>
          <w:ilvl w:val="0"/>
          <w:numId w:val="6"/>
        </w:numPr>
        <w:spacing w:lineRule="auto" w:line="240" w:before="0" w:after="160"/>
        <w:contextualSpacing/>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Transformator mokry posiada betonową misę minimalizującą (praktycznie do zera) ryzyko wycieku. Zastosowane materiały izolacyjne dają transformatorom wysokie parametry samogaszące, natomiast dzięki systemowi chłodzenia powietrzem naturalnym unika się wydostania płynów chłodzących, które mogłyby spowodować zanieczyszczenie środowiska zewnętrznego. </w:t>
      </w:r>
    </w:p>
    <w:p>
      <w:pPr>
        <w:pStyle w:val="ListParagraph"/>
        <w:spacing w:lineRule="auto" w:line="240" w:before="0" w:after="160"/>
        <w:ind w:left="436" w:hanging="0"/>
        <w:contextualSpacing/>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Stacja kontenerowa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Przewiduje się zastosowanie do 8 stacji kontenerowych. Kontener wyposażony będzie w transformator mokry w izolacji olejowej lub suchy w izolacji żywicznej, rozdzielnicę SN, rozdzielnicę zbiorczą, układ pomiaru energii, układ sterowania i kontroli, rozdzielnicę potrzeb własnych, układ łączności oraz instalację oświetlenia, wentylacji. Położenie stacji transformatorowych będzie spełniało wymagania „Rozporządzenia Ministra Infrastruktury z dnia 12 kwietnia 2002 r. w sprawie warunków technicznych, jakim powinny odpowiadać budynki i ich usytuowanie (Dz.U.2019, poz.1065)” i zostanie dokładnie określone w późniejszym etapie.  </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Linia kablowa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Panele fotowoltaiczne będą połączone z falownikami i urządzeniami zebranymi w stacji kontenerowej przy pomocy przewodów, zebranych w wiązki i prowadzonych po konstrukcji wsporczej paneli bądź ułożonych w ziemi. W celu wyprowadzenia mocy z elektrowni słonecznej przewiduje się wykonanie doziemnej linii kablowej SN, pomiędzy stacją kontenerową a istniejącym słupem SN znajdującym się w okolicy inwestycji. Kabel będzie ułożony w ziemi na głębokości 80 cm na podsypce piaskowej (10 cm), do pokrycia kabla również posłuży piasek (10 cm). Warstwy piasku zostaną pokryte gruntem rodzimym. Masy ziemne pochodzące z wykopów pod trasy kablowe, zostaną oznaczone w taki sposób, aby możliwe było, ponowne wykorzystanie usuniętych mas ziemnych do przysypania tego samego odcinka prowadzonych linii kablowych. Roboty ziemne będą wykonywane według normy: „PN-B-06050:1999 Geotechnika. Roboty ziemne. Wymagania ogólne.”  </w:t>
        <w:tab/>
        <w:t xml:space="preserve"> </w:t>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Konstrukcja wsporcza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Montaż paneli ma opierać się na konstrukcji wolnostojącej, składającej się ze stalowej ocynkowanej ramy, poziomych i pionowych profili nośnych oraz elementów mocujących. Konstrukcja wsporcza będzie przytwierdzona bezpośrednio do podłoża (pale wbijane w grunt przy pomocy kafara). Głębokość osadzania zależy od konkretnych warunków panujących na miejscu i zostanie ustalana indywidualnie przez projektanta na podstawie warunków panujących na miejscu montażu, w oparciu o nośność gruntu oraz obciążenie śniegiem i wiatrem. Wytrzymałość takiego sposobu mocowania paneli do podłoża została przebadana i może wytrzymać obciążenie wiatrem do 0,48 kN/m</w:t>
      </w:r>
      <w:r>
        <w:rPr>
          <w:rFonts w:cs="Calibri" w:cstheme="minorHAnsi"/>
          <w:color w:val="000000" w:themeColor="text1"/>
          <w:szCs w:val="24"/>
          <w:vertAlign w:val="superscript"/>
        </w:rPr>
        <w:t>2</w:t>
      </w:r>
      <w:r>
        <w:rPr>
          <w:rFonts w:cs="Calibri" w:cstheme="minorHAnsi"/>
          <w:color w:val="000000" w:themeColor="text1"/>
          <w:szCs w:val="24"/>
        </w:rPr>
        <w:t xml:space="preserve"> i śniegiem do 2,5 kN/m</w:t>
      </w:r>
      <w:r>
        <w:rPr>
          <w:rFonts w:cs="Calibri" w:cstheme="minorHAnsi"/>
          <w:color w:val="000000" w:themeColor="text1"/>
          <w:szCs w:val="24"/>
          <w:vertAlign w:val="superscript"/>
        </w:rPr>
        <w:t>2</w:t>
      </w:r>
      <w:r>
        <w:rPr>
          <w:rFonts w:cs="Calibri" w:cstheme="minorHAnsi"/>
          <w:color w:val="000000" w:themeColor="text1"/>
          <w:szCs w:val="24"/>
        </w:rPr>
        <w:t xml:space="preserve">. Wysokość konstrukcji wsporczej wraz z zamontowanymi panelami fotowoltaicznymi wynosić będzie maksymalnie do 6 m wysokości.  </w:t>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Dopuszcza się montaż oświetlenia terenu inwestycji, który nie będzie odbywać się w sposób ciągły, by nie powodować zanieczyszczenia świetlnego środowiska. Oświetlenie będzie się włączać automatycznie w trakcie detekcji ruchu. Dzięki temu inwestycja pozostanie bez negatywnego wpływu na komfort i zdrowie mieszkańców, a także nie będzie zakłócać trybu życia lokalnej flory i fauny. Dokładna ilość i parametry stosowanego oświetlenia i kamer monitoringu oraz ich rozmieszczenie na wnioskowanym terenie zostaną ujęte na późniejszym etapie w projekcie budowlanym.</w:t>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2</w:t>
      </w:r>
      <w:r>
        <w:rPr>
          <w:sz w:val="22"/>
          <w:b w:val="false"/>
          <w:szCs w:val="22"/>
          <w:bCs w:val="false"/>
        </w:rPr>
        <w:fldChar w:fldCharType="end"/>
      </w:r>
      <w:r>
        <w:rPr>
          <w:b w:val="false"/>
          <w:bCs w:val="false"/>
          <w:color w:val="auto"/>
          <w:sz w:val="22"/>
          <w:szCs w:val="22"/>
        </w:rPr>
        <w:t>. Porównanie proponowanej technologii z technologią spełniającą wymagania, o których mowa w art. 143 ustawy Prawo ochrony środowiska</w:t>
      </w:r>
    </w:p>
    <w:tbl>
      <w:tblPr>
        <w:tblStyle w:val="Tabelasiatki4akcent3"/>
        <w:tblW w:w="5000" w:type="pct"/>
        <w:jc w:val="center"/>
        <w:tblInd w:w="0" w:type="dxa"/>
        <w:tblCellMar>
          <w:top w:w="0" w:type="dxa"/>
          <w:left w:w="5" w:type="dxa"/>
          <w:bottom w:w="0" w:type="dxa"/>
          <w:right w:w="5" w:type="dxa"/>
        </w:tblCellMar>
        <w:tblLook w:firstRow="1" w:noVBand="1" w:lastRow="0" w:firstColumn="1" w:lastColumn="0" w:noHBand="0" w:val="04a0"/>
      </w:tblPr>
      <w:tblGrid>
        <w:gridCol w:w="2785"/>
        <w:gridCol w:w="6852"/>
      </w:tblGrid>
      <w:tr>
        <w:trPr>
          <w:tblHeader w:val="true"/>
          <w:trHeight w:val="957" w:hRule="atLeast"/>
          <w:cnfStyle w:val="100000000000" w:firstRow="1" w:lastRow="0" w:firstColumn="0" w:lastColumn="0" w:oddVBand="0" w:evenVBand="0" w:oddHBand="0" w:evenHBand="0" w:firstRowFirstColumn="0" w:firstRowLastColumn="0" w:lastRowFirstColumn="0" w:lastRowLastColumn="0"/>
        </w:trPr>
        <w:tc>
          <w:tcPr>
            <w:tcW w:w="2785" w:type="dxa"/>
            <w:cnfStyle w:val="001000000000" w:firstRow="0" w:lastRow="0" w:firstColumn="1" w:lastColumn="0" w:oddVBand="0" w:evenVBand="0" w:oddHBand="0" w:evenHBand="0" w:firstRowFirstColumn="0" w:firstRowLastColumn="0" w:lastRowFirstColumn="0" w:lastRowLastColumn="0"/>
            <w:tcBorders>
              <w:top w:val="single" w:sz="4" w:space="0" w:color="A5A5A5"/>
              <w:left w:val="single" w:sz="4" w:space="0" w:color="A5A5A5"/>
              <w:bottom w:val="single" w:sz="4" w:space="0" w:color="A5A5A5"/>
              <w:right w:val="single" w:sz="4" w:space="0" w:color="A5A5A5"/>
            </w:tcBorders>
            <w:shd w:color="auto" w:fill="A5A5A5" w:themeFill="accent3" w:val="clear"/>
            <w:vAlign w:val="center"/>
          </w:tcPr>
          <w:p>
            <w:pPr>
              <w:pStyle w:val="Normal"/>
              <w:spacing w:lineRule="auto" w:line="240" w:before="0" w:after="0"/>
              <w:jc w:val="center"/>
              <w:rPr>
                <w:rFonts w:eastAsia="" w:cs="Calibri" w:cstheme="minorHAnsi" w:eastAsiaTheme="minorEastAsia"/>
                <w:bCs w:val="false"/>
                <w:sz w:val="20"/>
                <w:szCs w:val="18"/>
              </w:rPr>
            </w:pPr>
            <w:r>
              <w:rPr>
                <w:rFonts w:cs="Calibri" w:cstheme="minorHAnsi"/>
                <w:b/>
                <w:bCs w:val="false"/>
                <w:color w:val="FFFFFF" w:themeColor="background1"/>
                <w:sz w:val="20"/>
                <w:szCs w:val="18"/>
                <w:lang w:eastAsia="en-US"/>
              </w:rPr>
              <w:t>Warunki określone w art. 143 ustawy Prawo ochrony środowiska</w:t>
            </w:r>
          </w:p>
        </w:tc>
        <w:tc>
          <w:tcPr>
            <w:tcW w:w="6852" w:type="dxa"/>
            <w:tcBorders>
              <w:top w:val="single" w:sz="4" w:space="0" w:color="A5A5A5"/>
              <w:left w:val="single" w:sz="4" w:space="0" w:color="A5A5A5"/>
              <w:bottom w:val="single" w:sz="4" w:space="0" w:color="A5A5A5"/>
              <w:right w:val="single" w:sz="4" w:space="0" w:color="A5A5A5"/>
            </w:tcBorders>
            <w:shd w:color="auto" w:fill="A5A5A5" w:themeFill="accent3" w:val="clear"/>
          </w:tcPr>
          <w:p>
            <w:pPr>
              <w:pStyle w:val="Normal"/>
              <w:spacing w:lineRule="auto" w:line="240" w:before="0" w:after="0"/>
              <w:jc w:val="center"/>
              <w:cnfStyle w:val="100000000000" w:firstRow="1" w:lastRow="0" w:firstColumn="0" w:lastColumn="0" w:oddVBand="0" w:evenVBand="0" w:oddHBand="0" w:evenHBand="0" w:firstRowFirstColumn="0" w:firstRowLastColumn="0" w:lastRowFirstColumn="0" w:lastRowLastColumn="0"/>
              <w:rPr>
                <w:rFonts w:cs="Calibri" w:cstheme="minorHAnsi"/>
                <w:bCs w:val="false"/>
                <w:sz w:val="20"/>
                <w:szCs w:val="18"/>
              </w:rPr>
            </w:pPr>
            <w:r>
              <w:rPr>
                <w:rFonts w:cs="Calibri" w:cstheme="minorHAnsi"/>
                <w:b/>
                <w:bCs w:val="false"/>
                <w:color w:val="FFFFFF" w:themeColor="background1"/>
                <w:sz w:val="20"/>
                <w:szCs w:val="18"/>
                <w:lang w:eastAsia="en-US"/>
              </w:rPr>
              <w:t>Sposób spełnienia wymogu w planowanej inwestycji</w:t>
            </w:r>
          </w:p>
        </w:tc>
      </w:tr>
      <w:tr>
        <w:trPr>
          <w:trHeight w:val="1528" w:hRule="atLeast"/>
          <w:cnfStyle w:val="000000100000" w:firstRow="0" w:lastRow="0" w:firstColumn="0" w:lastColumn="0" w:oddVBand="0" w:evenVBand="0" w:oddHBand="1" w:evenHBand="0" w:firstRowFirstColumn="0" w:firstRowLastColumn="0" w:lastRowFirstColumn="0" w:lastRowLastColumn="0"/>
        </w:trPr>
        <w:tc>
          <w:tcPr>
            <w:tcW w:w="2785" w:type="dxa"/>
            <w:cnfStyle w:val="001000000000" w:firstRow="0" w:lastRow="0" w:firstColumn="1" w:lastColumn="0" w:oddVBand="0" w:evenVBand="0" w:oddHBand="0" w:evenHBand="0" w:firstRowFirstColumn="0" w:firstRowLastColumn="0" w:lastRowFirstColumn="0" w:lastRowLastColumn="0"/>
            <w:tcBorders/>
            <w:shd w:color="auto" w:fill="EDEDED" w:themeFill="accent3" w:themeFillTint="33"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Stosowanie substancji</w:t>
              <w:br/>
              <w:t>o małym potencjale zagrożeń</w:t>
            </w:r>
          </w:p>
        </w:tc>
        <w:tc>
          <w:tcPr>
            <w:tcW w:w="6852" w:type="dxa"/>
            <w:tcBorders/>
            <w:shd w:color="auto" w:fill="EDEDED" w:themeFill="accent3" w:themeFillTint="33" w:val="clear"/>
          </w:tcPr>
          <w:p>
            <w:pPr>
              <w:pStyle w:val="Normal"/>
              <w:spacing w:lineRule="auto" w:line="240" w:before="0" w:after="0"/>
              <w:ind w:left="142" w:hanging="0"/>
              <w:cnfStyle w:val="000000100000" w:firstRow="0" w:lastRow="0" w:firstColumn="0" w:lastColumn="0" w:oddVBand="0" w:evenVBand="0" w:oddHBand="1" w:evenHBand="0" w:firstRowFirstColumn="0" w:firstRowLastColumn="0" w:lastRowFirstColumn="0" w:lastRowLastColumn="0"/>
              <w:rPr>
                <w:rFonts w:cs="Calibri" w:cstheme="minorHAnsi"/>
                <w:sz w:val="20"/>
                <w:szCs w:val="18"/>
              </w:rPr>
            </w:pPr>
            <w:r>
              <w:rPr>
                <w:rFonts w:cs="Calibri" w:cstheme="minorHAnsi"/>
                <w:sz w:val="20"/>
                <w:szCs w:val="18"/>
                <w:lang w:eastAsia="en-US"/>
              </w:rPr>
              <w:t>W procesie wytwarzania energii elektrycznej oraz podczas eksploatacji przedmiotowej inwestycji będą stosowane substancje oraz materiały o małym potencjale zagrożeń zarówno dla ludzi jak i środowiska. Wyjątek może stanowić olej transformatorowy związany z eksploatacją stacji transformatorowych, natomiast będzie odpowiednio zabezpieczony.</w:t>
            </w:r>
          </w:p>
        </w:tc>
      </w:tr>
      <w:tr>
        <w:trPr>
          <w:trHeight w:val="2955" w:hRule="atLeast"/>
        </w:trPr>
        <w:tc>
          <w:tcPr>
            <w:tcW w:w="2785" w:type="dxa"/>
            <w:cnfStyle w:val="001000000000" w:firstRow="0" w:lastRow="0" w:firstColumn="1" w:lastColumn="0" w:oddVBand="0" w:evenVBand="0" w:oddHBand="0" w:evenHBand="0" w:firstRowFirstColumn="0" w:firstRowLastColumn="0" w:lastRowFirstColumn="0" w:lastRowLastColumn="0"/>
            <w:tcBorders/>
            <w:shd w:fill="auto"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Efektywne wytwarzanie oraz wykorzystanie energii</w:t>
            </w:r>
          </w:p>
        </w:tc>
        <w:tc>
          <w:tcPr>
            <w:tcW w:w="6852" w:type="dxa"/>
            <w:tcBorders/>
            <w:shd w:fill="auto" w:val="clear"/>
          </w:tcPr>
          <w:p>
            <w:pPr>
              <w:pStyle w:val="Normal"/>
              <w:spacing w:lineRule="auto" w:line="240" w:before="0" w:after="0"/>
              <w:ind w:left="142" w:hanging="0"/>
              <w:cnfStyle w:val="000000000000" w:firstRow="0" w:lastRow="0" w:firstColumn="0" w:lastColumn="0" w:oddVBand="0" w:evenVBand="0" w:oddHBand="0" w:evenHBand="0" w:firstRowFirstColumn="0" w:firstRowLastColumn="0" w:lastRowFirstColumn="0" w:lastRowLastColumn="0"/>
              <w:rPr>
                <w:rFonts w:cs="Calibri" w:cstheme="minorHAnsi"/>
                <w:sz w:val="20"/>
                <w:szCs w:val="18"/>
              </w:rPr>
            </w:pPr>
            <w:r>
              <w:rPr>
                <w:rFonts w:cs="Calibri" w:cstheme="minorHAnsi"/>
                <w:sz w:val="20"/>
                <w:szCs w:val="18"/>
                <w:lang w:eastAsia="en-US"/>
              </w:rPr>
              <w:t>Funkcjonowanie elektrowni fotowoltaicznych nie wiąże się z istotnym wykorzystaniem zasobów naturalnych. Energia produkowana jest z promieniowania słonecznego (światła) o nieskończonych zasobach, którego intensywność zależny jedynie od warunków atmosferycznych. Energia słońca stanowi bezemisyjne źródło wytwarzania energii, stąd eksploatacja elektrowni fotowoltaicznych nie powoduje zanieczyszczenia środowiska – ich pracy nie towarzyszy emisja do powietrza substancji takich jak dwutlenek węgla, tlenki siarki, tlenki azotu i pyły czy powstawanie dużych ilości odpadów. Wytwarzanie energii elektrycznej przy wykorzystaniu energii promieniowania słonecznego zmniejsza oddziaływanie sektora wytwarzania energii na środowisko.</w:t>
            </w:r>
          </w:p>
        </w:tc>
      </w:tr>
      <w:tr>
        <w:trPr>
          <w:trHeight w:val="1242" w:hRule="atLeast"/>
          <w:cnfStyle w:val="000000100000" w:firstRow="0" w:lastRow="0" w:firstColumn="0" w:lastColumn="0" w:oddVBand="0" w:evenVBand="0" w:oddHBand="1" w:evenHBand="0" w:firstRowFirstColumn="0" w:firstRowLastColumn="0" w:lastRowFirstColumn="0" w:lastRowLastColumn="0"/>
        </w:trPr>
        <w:tc>
          <w:tcPr>
            <w:tcW w:w="2785" w:type="dxa"/>
            <w:cnfStyle w:val="001000000000" w:firstRow="0" w:lastRow="0" w:firstColumn="1" w:lastColumn="0" w:oddVBand="0" w:evenVBand="0" w:oddHBand="0" w:evenHBand="0" w:firstRowFirstColumn="0" w:firstRowLastColumn="0" w:lastRowFirstColumn="0" w:lastRowLastColumn="0"/>
            <w:tcBorders/>
            <w:shd w:color="auto" w:fill="EDEDED" w:themeFill="accent3" w:themeFillTint="33"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Zapewnienie racjonalnego zużycia wody i innych surowców oraz materiałów</w:t>
              <w:br/>
              <w:t>i paliw</w:t>
            </w:r>
          </w:p>
        </w:tc>
        <w:tc>
          <w:tcPr>
            <w:tcW w:w="6852" w:type="dxa"/>
            <w:tcBorders/>
            <w:shd w:color="auto" w:fill="EDEDED" w:themeFill="accent3" w:themeFillTint="33" w:val="clear"/>
          </w:tcPr>
          <w:p>
            <w:pPr>
              <w:pStyle w:val="Normal"/>
              <w:spacing w:lineRule="auto" w:line="240" w:before="0" w:after="0"/>
              <w:ind w:left="142" w:hanging="0"/>
              <w:cnfStyle w:val="000000100000" w:firstRow="0" w:lastRow="0" w:firstColumn="0" w:lastColumn="0" w:oddVBand="0" w:evenVBand="0" w:oddHBand="1" w:evenHBand="0" w:firstRowFirstColumn="0" w:firstRowLastColumn="0" w:lastRowFirstColumn="0" w:lastRowLastColumn="0"/>
              <w:rPr>
                <w:rFonts w:cs="Calibri" w:cstheme="minorHAnsi"/>
                <w:sz w:val="20"/>
                <w:szCs w:val="18"/>
              </w:rPr>
            </w:pPr>
            <w:r>
              <w:rPr>
                <w:rFonts w:cs="Calibri" w:cstheme="minorHAnsi"/>
                <w:sz w:val="20"/>
                <w:szCs w:val="18"/>
                <w:lang w:eastAsia="en-US"/>
              </w:rPr>
              <w:t>Funkcjonowanie elektrowni fotowoltaicznych nie wymaga zużycia wody oraz innych surowców i materiałów. Zapotrzebowanie na energię elektryczną na potrzeby własne jest znikome, pokrywane z sieci – odbiornika wytworzonej energii.</w:t>
            </w:r>
          </w:p>
        </w:tc>
      </w:tr>
      <w:tr>
        <w:trPr>
          <w:trHeight w:val="1528" w:hRule="atLeast"/>
        </w:trPr>
        <w:tc>
          <w:tcPr>
            <w:tcW w:w="2785" w:type="dxa"/>
            <w:cnfStyle w:val="001000000000" w:firstRow="0" w:lastRow="0" w:firstColumn="1" w:lastColumn="0" w:oddVBand="0" w:evenVBand="0" w:oddHBand="0" w:evenHBand="0" w:firstRowFirstColumn="0" w:firstRowLastColumn="0" w:lastRowFirstColumn="0" w:lastRowLastColumn="0"/>
            <w:tcBorders/>
            <w:shd w:fill="auto"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Stosowanie technologii bezodpadowych i małoodpadowych oraz możliwość odzysku powstających odpadów</w:t>
            </w:r>
          </w:p>
        </w:tc>
        <w:tc>
          <w:tcPr>
            <w:tcW w:w="6852" w:type="dxa"/>
            <w:tcBorders/>
            <w:shd w:fill="auto" w:val="clear"/>
          </w:tcPr>
          <w:p>
            <w:pPr>
              <w:pStyle w:val="Normal"/>
              <w:spacing w:lineRule="auto" w:line="240" w:before="0" w:after="0"/>
              <w:ind w:left="142" w:hanging="0"/>
              <w:cnfStyle w:val="000000000000" w:firstRow="0" w:lastRow="0" w:firstColumn="0" w:lastColumn="0" w:oddVBand="0" w:evenVBand="0" w:oddHBand="0" w:evenHBand="0" w:firstRowFirstColumn="0" w:firstRowLastColumn="0" w:lastRowFirstColumn="0" w:lastRowLastColumn="0"/>
              <w:rPr>
                <w:rFonts w:cs="Calibri" w:cstheme="minorHAnsi"/>
                <w:sz w:val="20"/>
                <w:szCs w:val="18"/>
              </w:rPr>
            </w:pPr>
            <w:r>
              <w:rPr>
                <w:rFonts w:cs="Calibri" w:cstheme="minorHAnsi"/>
                <w:sz w:val="20"/>
                <w:szCs w:val="18"/>
                <w:lang w:eastAsia="en-US"/>
              </w:rPr>
              <w:t>Z eksploatacją elektrowni fotowoltaicznych wiąże się powstawanie znikomej ilości odpadów, głównie eksploatacyjnych, na które składają się oleje oraz niesprawne</w:t>
              <w:br/>
              <w:t>i zużyte elementy elektroniczne i elektryczne. Większość powstających odpadów,</w:t>
              <w:br/>
              <w:t xml:space="preserve">w zależności od zużycia, może być regenerowana i kierowana do ponownego wykorzystania. </w:t>
            </w:r>
          </w:p>
        </w:tc>
      </w:tr>
      <w:tr>
        <w:trPr>
          <w:trHeight w:val="973" w:hRule="atLeast"/>
          <w:cnfStyle w:val="000000100000" w:firstRow="0" w:lastRow="0" w:firstColumn="0" w:lastColumn="0" w:oddVBand="0" w:evenVBand="0" w:oddHBand="1" w:evenHBand="0" w:firstRowFirstColumn="0" w:firstRowLastColumn="0" w:lastRowFirstColumn="0" w:lastRowLastColumn="0"/>
        </w:trPr>
        <w:tc>
          <w:tcPr>
            <w:tcW w:w="2785" w:type="dxa"/>
            <w:cnfStyle w:val="001000000000" w:firstRow="0" w:lastRow="0" w:firstColumn="1" w:lastColumn="0" w:oddVBand="0" w:evenVBand="0" w:oddHBand="0" w:evenHBand="0" w:firstRowFirstColumn="0" w:firstRowLastColumn="0" w:lastRowFirstColumn="0" w:lastRowLastColumn="0"/>
            <w:tcBorders/>
            <w:shd w:color="auto" w:fill="EDEDED" w:themeFill="accent3" w:themeFillTint="33"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Rodzaj, zasięg oraz wielkość emisji</w:t>
            </w:r>
          </w:p>
        </w:tc>
        <w:tc>
          <w:tcPr>
            <w:tcW w:w="6852" w:type="dxa"/>
            <w:tcBorders/>
            <w:shd w:color="auto" w:fill="EDEDED" w:themeFill="accent3" w:themeFillTint="33" w:val="clear"/>
          </w:tcPr>
          <w:p>
            <w:pPr>
              <w:pStyle w:val="Normal"/>
              <w:spacing w:lineRule="auto" w:line="240" w:before="0" w:after="0"/>
              <w:ind w:left="142" w:hanging="0"/>
              <w:cnfStyle w:val="000000100000" w:firstRow="0" w:lastRow="0" w:firstColumn="0" w:lastColumn="0" w:oddVBand="0" w:evenVBand="0" w:oddHBand="1" w:evenHBand="0" w:firstRowFirstColumn="0" w:firstRowLastColumn="0" w:lastRowFirstColumn="0" w:lastRowLastColumn="0"/>
              <w:rPr>
                <w:rFonts w:cs="Calibri" w:cstheme="minorHAnsi"/>
                <w:sz w:val="20"/>
                <w:szCs w:val="18"/>
              </w:rPr>
            </w:pPr>
            <w:r>
              <w:rPr>
                <w:rFonts w:cs="Calibri" w:cstheme="minorHAnsi"/>
                <w:sz w:val="20"/>
                <w:szCs w:val="18"/>
                <w:lang w:eastAsia="en-US"/>
              </w:rPr>
              <w:t xml:space="preserve">Praca elektrowni fotowoltaicznych nie powoduje emisji gazowo – pyłowych do środowiska, hałasu ani emisji niejonizujących pól elektromagnetycznych oraz hałasu czy drgań. </w:t>
            </w:r>
          </w:p>
        </w:tc>
      </w:tr>
      <w:tr>
        <w:trPr>
          <w:trHeight w:val="1528" w:hRule="atLeast"/>
        </w:trPr>
        <w:tc>
          <w:tcPr>
            <w:tcW w:w="2785" w:type="dxa"/>
            <w:cnfStyle w:val="001000000000" w:firstRow="0" w:lastRow="0" w:firstColumn="1" w:lastColumn="0" w:oddVBand="0" w:evenVBand="0" w:oddHBand="0" w:evenHBand="0" w:firstRowFirstColumn="0" w:firstRowLastColumn="0" w:lastRowFirstColumn="0" w:lastRowLastColumn="0"/>
            <w:tcBorders/>
            <w:shd w:fill="auto"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Wykorzystywanie porównywalnych procesów</w:t>
              <w:br/>
              <w:t>i metod, które zostały skutecznie zastosowane</w:t>
              <w:br/>
              <w:t>w skali przemysłowej</w:t>
            </w:r>
          </w:p>
        </w:tc>
        <w:tc>
          <w:tcPr>
            <w:tcW w:w="6852" w:type="dxa"/>
            <w:tcBorders/>
            <w:shd w:fill="auto" w:val="clear"/>
          </w:tcPr>
          <w:p>
            <w:pPr>
              <w:pStyle w:val="Normal"/>
              <w:spacing w:lineRule="auto" w:line="240" w:before="0" w:after="0"/>
              <w:ind w:left="142" w:hanging="0"/>
              <w:cnfStyle w:val="000000000000" w:firstRow="0" w:lastRow="0" w:firstColumn="0" w:lastColumn="0" w:oddVBand="0" w:evenVBand="0" w:oddHBand="0" w:evenHBand="0" w:firstRowFirstColumn="0" w:firstRowLastColumn="0" w:lastRowFirstColumn="0" w:lastRowLastColumn="0"/>
              <w:rPr>
                <w:rFonts w:cs="Calibri" w:cstheme="minorHAnsi"/>
                <w:sz w:val="20"/>
                <w:szCs w:val="18"/>
              </w:rPr>
            </w:pPr>
            <w:r>
              <w:rPr>
                <w:rFonts w:cs="Calibri" w:cstheme="minorHAnsi"/>
                <w:sz w:val="20"/>
                <w:szCs w:val="18"/>
                <w:lang w:eastAsia="en-US"/>
              </w:rPr>
              <w:t>Rozwiązania przyjęte analizowanej koncepcji inwestycji nawiązują do dobrych praktyk i są powszechnie stosowane Europie i na świecie.</w:t>
            </w:r>
          </w:p>
        </w:tc>
      </w:tr>
      <w:tr>
        <w:trPr>
          <w:trHeight w:val="1242" w:hRule="atLeast"/>
          <w:cnfStyle w:val="000000100000" w:firstRow="0" w:lastRow="0" w:firstColumn="0" w:lastColumn="0" w:oddVBand="0" w:evenVBand="0" w:oddHBand="1" w:evenHBand="0" w:firstRowFirstColumn="0" w:firstRowLastColumn="0" w:lastRowFirstColumn="0" w:lastRowLastColumn="0"/>
        </w:trPr>
        <w:tc>
          <w:tcPr>
            <w:tcW w:w="2785" w:type="dxa"/>
            <w:cnfStyle w:val="001000000000" w:firstRow="0" w:lastRow="0" w:firstColumn="1" w:lastColumn="0" w:oddVBand="0" w:evenVBand="0" w:oddHBand="0" w:evenHBand="0" w:firstRowFirstColumn="0" w:firstRowLastColumn="0" w:lastRowFirstColumn="0" w:lastRowLastColumn="0"/>
            <w:tcBorders/>
            <w:shd w:color="auto" w:fill="EDEDED" w:themeFill="accent3" w:themeFillTint="33" w:val="clear"/>
            <w:vAlign w:val="center"/>
          </w:tcPr>
          <w:p>
            <w:pPr>
              <w:pStyle w:val="Normal"/>
              <w:spacing w:lineRule="auto" w:line="240" w:before="0" w:after="0"/>
              <w:jc w:val="left"/>
              <w:rPr>
                <w:rFonts w:cs="Calibri" w:cstheme="minorHAnsi"/>
                <w:sz w:val="20"/>
                <w:szCs w:val="18"/>
              </w:rPr>
            </w:pPr>
            <w:r>
              <w:rPr>
                <w:rFonts w:cs="Calibri" w:cstheme="minorHAnsi"/>
                <w:b/>
                <w:bCs/>
                <w:sz w:val="20"/>
                <w:szCs w:val="18"/>
                <w:lang w:eastAsia="en-US"/>
              </w:rPr>
              <w:t>Postęp naukowo-techniczny</w:t>
            </w:r>
          </w:p>
        </w:tc>
        <w:tc>
          <w:tcPr>
            <w:tcW w:w="6852" w:type="dxa"/>
            <w:tcBorders/>
            <w:shd w:color="auto" w:fill="EDEDED" w:themeFill="accent3" w:themeFillTint="33" w:val="clear"/>
          </w:tcPr>
          <w:p>
            <w:pPr>
              <w:pStyle w:val="Normal"/>
              <w:spacing w:lineRule="auto" w:line="240" w:before="0" w:after="0"/>
              <w:ind w:left="142" w:hanging="0"/>
              <w:cnfStyle w:val="000000100000" w:firstRow="0" w:lastRow="0" w:firstColumn="0" w:lastColumn="0" w:oddVBand="0" w:evenVBand="0" w:oddHBand="1" w:evenHBand="0" w:firstRowFirstColumn="0" w:firstRowLastColumn="0" w:lastRowFirstColumn="0" w:lastRowLastColumn="0"/>
              <w:rPr>
                <w:rFonts w:cs="Calibri" w:cstheme="minorHAnsi"/>
                <w:sz w:val="20"/>
                <w:szCs w:val="18"/>
              </w:rPr>
            </w:pPr>
            <w:r>
              <w:rPr>
                <w:rFonts w:cs="Calibri" w:cstheme="minorHAnsi"/>
                <w:bCs/>
                <w:sz w:val="20"/>
                <w:szCs w:val="18"/>
                <w:lang w:eastAsia="en-US"/>
              </w:rPr>
              <w:t>W planowanej instalacji zostaną wykorzystane urządzenia o najwyższych światowych standardach jakości i bezpieczeństwa w zakresie ochrony środowiska. Instalacje spełniają założenia dyrektywy Unii Europejskiej w zakresie odnawialnych źródeł energii</w:t>
            </w:r>
            <w:bookmarkStart w:id="18" w:name="_Hlk503188772"/>
            <w:bookmarkEnd w:id="18"/>
          </w:p>
        </w:tc>
      </w:tr>
    </w:tbl>
    <w:p>
      <w:pPr>
        <w:pStyle w:val="Normal"/>
        <w:ind w:left="0" w:hanging="0"/>
        <w:rPr/>
      </w:pPr>
      <w:r>
        <w:rPr/>
      </w:r>
    </w:p>
    <w:p>
      <w:pPr>
        <w:pStyle w:val="Nagwek1"/>
        <w:ind w:left="0" w:right="0" w:firstLine="284"/>
        <w:rPr>
          <w:rFonts w:ascii="Calibri" w:hAnsi="Calibri" w:cs="Calibri" w:asciiTheme="minorHAnsi" w:cstheme="minorHAnsi" w:hAnsiTheme="minorHAnsi"/>
          <w:highlight w:val="white"/>
        </w:rPr>
      </w:pPr>
      <w:bookmarkStart w:id="19" w:name="_Toc121388977"/>
      <w:r>
        <w:rPr>
          <w:rFonts w:cs="Calibri" w:cstheme="minorHAnsi"/>
          <w:shd w:fill="FFFFFF" w:val="clear"/>
        </w:rPr>
        <w:t>5. Ewentualne warianty przedsięwzięcia</w:t>
      </w:r>
      <w:bookmarkEnd w:id="19"/>
      <w:r>
        <w:rPr>
          <w:rFonts w:cs="Calibri" w:cstheme="minorHAnsi"/>
          <w:shd w:fill="FFFFFF" w:val="clear"/>
        </w:rPr>
        <w:t xml:space="preserve"> </w:t>
      </w:r>
    </w:p>
    <w:p>
      <w:pPr>
        <w:pStyle w:val="Normal"/>
        <w:ind w:left="0" w:hanging="0"/>
        <w:rPr>
          <w:rFonts w:ascii="Calibri" w:hAnsi="Calibri" w:cs="Calibri" w:asciiTheme="minorHAnsi" w:cstheme="minorHAnsi" w:hAnsiTheme="minorHAnsi"/>
        </w:rPr>
      </w:pPr>
      <w:r>
        <w:rPr>
          <w:rFonts w:cs="Calibri" w:cstheme="minorHAnsi"/>
        </w:rPr>
      </w:r>
    </w:p>
    <w:p>
      <w:pPr>
        <w:pStyle w:val="Normal"/>
        <w:spacing w:lineRule="auto" w:line="240" w:before="0" w:after="0"/>
        <w:ind w:left="0" w:hanging="0"/>
        <w:jc w:val="center"/>
        <w:rPr>
          <w:rFonts w:ascii="Calibri" w:hAnsi="Calibri" w:cs="Calibri" w:asciiTheme="minorHAnsi" w:cstheme="minorHAnsi" w:hAnsiTheme="minorHAnsi"/>
          <w:bCs/>
          <w:i/>
          <w:i/>
          <w:iCs/>
          <w:szCs w:val="24"/>
        </w:rPr>
      </w:pPr>
      <w:r>
        <w:rPr>
          <w:rFonts w:cs="Calibri" w:cstheme="minorHAnsi"/>
          <w:bCs/>
          <w:i/>
          <w:iCs/>
          <w:szCs w:val="24"/>
        </w:rPr>
        <w:t>WARIANT „0” – nie podejmowanie planowanego przedsięwzięcia</w:t>
      </w:r>
    </w:p>
    <w:p>
      <w:pPr>
        <w:pStyle w:val="Normal"/>
        <w:spacing w:lineRule="auto" w:line="240" w:before="0" w:after="0"/>
        <w:ind w:left="-284" w:firstLine="568"/>
        <w:rPr>
          <w:rFonts w:ascii="Calibri" w:hAnsi="Calibri" w:cs="Calibri" w:asciiTheme="minorHAnsi" w:cstheme="minorHAnsi" w:hAnsiTheme="minorHAnsi"/>
          <w:bCs/>
          <w:szCs w:val="24"/>
        </w:rPr>
      </w:pPr>
      <w:r>
        <w:rPr>
          <w:rFonts w:cs="Calibri" w:cstheme="minorHAnsi"/>
          <w:bCs/>
          <w:szCs w:val="24"/>
        </w:rPr>
        <w:t>Wariant polegający na niepodejmowaniu przedsięwzięcia. Każda działalność człowieka wiąże się z potencjalnie negatywnym oddziaływaniem na środowisko, w związku z czym wariant ten w krótkiej perspektywie czasowej oraz rozpatrując jedynie miejsce realizacji przedsięwzięcia, może okazać się wariantem najkorzystniejszym.</w:t>
      </w:r>
    </w:p>
    <w:p>
      <w:pPr>
        <w:pStyle w:val="Normal"/>
        <w:spacing w:lineRule="auto" w:line="240" w:before="0" w:after="0"/>
        <w:ind w:left="-284" w:firstLine="568"/>
        <w:rPr>
          <w:rFonts w:ascii="Calibri" w:hAnsi="Calibri" w:cs="Calibri" w:asciiTheme="minorHAnsi" w:cstheme="minorHAnsi" w:hAnsiTheme="minorHAnsi"/>
          <w:bCs/>
          <w:szCs w:val="24"/>
        </w:rPr>
      </w:pPr>
      <w:r>
        <w:rPr>
          <w:rFonts w:cs="Calibri" w:cstheme="minorHAnsi"/>
          <w:bCs/>
          <w:szCs w:val="24"/>
        </w:rPr>
        <w:t>Jednakże mając na uwadze perspektywę długookresową, wariant ten okazuje się niekorzystny, ponieważ w żaden pozytywny sposób nie wpływa na środowisko. Wiąże się</w:t>
        <w:br/>
        <w:t>z rezygnacją z korzystnych ekonomicznie dostaw energii odnawialnej. Energia z OZE wpływa pozytywnie na środowisko, ponieważ jak wcześniej wspomniano ogranicza spalanie węgla, a  co za tym idzie jego negatywnego oddziaływania na środowisko. Rozwój energetyki słonecznej, jako jedna z możliwości wykorzystania odnawialnych źródeł energii jest konieczny m.in. dlatego iż:</w:t>
      </w:r>
    </w:p>
    <w:p>
      <w:pPr>
        <w:pStyle w:val="ListParagraph"/>
        <w:numPr>
          <w:ilvl w:val="0"/>
          <w:numId w:val="16"/>
        </w:numPr>
        <w:spacing w:lineRule="auto" w:line="240" w:before="0" w:after="0"/>
        <w:ind w:left="-284" w:firstLine="568"/>
        <w:contextualSpacing/>
        <w:rPr>
          <w:rFonts w:ascii="Calibri" w:hAnsi="Calibri" w:cs="Calibri" w:asciiTheme="minorHAnsi" w:cstheme="minorHAnsi" w:hAnsiTheme="minorHAnsi"/>
          <w:bCs/>
          <w:szCs w:val="24"/>
        </w:rPr>
      </w:pPr>
      <w:r>
        <w:rPr>
          <w:rFonts w:cs="Calibri" w:cstheme="minorHAnsi"/>
          <w:bCs/>
          <w:szCs w:val="24"/>
        </w:rPr>
        <w:t>w polskich warunkach słońce jest dobrym źródłem „czystej i ekologicznej” elektryczności,</w:t>
      </w:r>
    </w:p>
    <w:p>
      <w:pPr>
        <w:pStyle w:val="ListParagraph"/>
        <w:numPr>
          <w:ilvl w:val="0"/>
          <w:numId w:val="16"/>
        </w:numPr>
        <w:spacing w:lineRule="auto" w:line="240" w:before="0" w:after="0"/>
        <w:ind w:left="-284" w:firstLine="568"/>
        <w:contextualSpacing/>
        <w:rPr>
          <w:rFonts w:ascii="Calibri" w:hAnsi="Calibri" w:cs="Calibri" w:asciiTheme="minorHAnsi" w:cstheme="minorHAnsi" w:hAnsiTheme="minorHAnsi"/>
          <w:bCs/>
          <w:szCs w:val="24"/>
        </w:rPr>
      </w:pPr>
      <w:r>
        <w:rPr>
          <w:rFonts w:cs="Calibri" w:cstheme="minorHAnsi"/>
          <w:bCs/>
          <w:szCs w:val="24"/>
        </w:rPr>
        <w:t>wzrastające potrzeby energetyczne Polski wymagają zwiększonej produkcji i dostaw energii elektrycznej, głównie „odnawialnej”</w:t>
      </w:r>
    </w:p>
    <w:p>
      <w:pPr>
        <w:pStyle w:val="ListParagraph"/>
        <w:numPr>
          <w:ilvl w:val="0"/>
          <w:numId w:val="16"/>
        </w:numPr>
        <w:spacing w:lineRule="auto" w:line="240" w:before="0" w:after="0"/>
        <w:ind w:left="-284" w:firstLine="568"/>
        <w:contextualSpacing/>
        <w:rPr>
          <w:rFonts w:ascii="Calibri" w:hAnsi="Calibri" w:cs="Calibri" w:asciiTheme="minorHAnsi" w:cstheme="minorHAnsi" w:hAnsiTheme="minorHAnsi"/>
          <w:bCs/>
          <w:szCs w:val="24"/>
        </w:rPr>
      </w:pPr>
      <w:r>
        <w:rPr>
          <w:rFonts w:cs="Calibri" w:cstheme="minorHAnsi"/>
          <w:bCs/>
          <w:szCs w:val="24"/>
        </w:rPr>
        <w:t>wymagania UE, przyjęte i egzekwowane przez Polskę.</w:t>
      </w:r>
    </w:p>
    <w:p>
      <w:pPr>
        <w:pStyle w:val="Normal"/>
        <w:spacing w:lineRule="auto" w:line="240" w:before="0" w:after="0"/>
        <w:rPr>
          <w:rFonts w:ascii="Calibri" w:hAnsi="Calibri" w:cs="Calibri" w:asciiTheme="minorHAnsi" w:cstheme="minorHAnsi" w:hAnsiTheme="minorHAnsi"/>
          <w:bCs/>
          <w:szCs w:val="24"/>
        </w:rPr>
      </w:pPr>
      <w:r>
        <w:rPr>
          <w:rFonts w:cs="Calibri" w:cstheme="minorHAnsi"/>
          <w:bCs/>
          <w:szCs w:val="24"/>
        </w:rPr>
      </w:r>
    </w:p>
    <w:p>
      <w:pPr>
        <w:pStyle w:val="Normal"/>
        <w:spacing w:lineRule="auto" w:line="240" w:before="0" w:after="0"/>
        <w:rPr>
          <w:rFonts w:ascii="Calibri" w:hAnsi="Calibri" w:cs="Calibri" w:asciiTheme="minorHAnsi" w:cstheme="minorHAnsi" w:hAnsiTheme="minorHAnsi"/>
          <w:bCs/>
          <w:szCs w:val="24"/>
        </w:rPr>
      </w:pPr>
      <w:r>
        <w:rPr>
          <w:rFonts w:cs="Calibri" w:cstheme="minorHAnsi"/>
          <w:bCs/>
          <w:szCs w:val="24"/>
        </w:rPr>
      </w:r>
    </w:p>
    <w:p>
      <w:pPr>
        <w:pStyle w:val="Normal"/>
        <w:spacing w:lineRule="auto" w:line="240" w:before="0" w:after="0"/>
        <w:ind w:left="0" w:hanging="0"/>
        <w:rPr>
          <w:rFonts w:ascii="Calibri" w:hAnsi="Calibri" w:cs="Calibri" w:asciiTheme="minorHAnsi" w:cstheme="minorHAnsi" w:hAnsiTheme="minorHAnsi"/>
          <w:bCs/>
          <w:szCs w:val="24"/>
        </w:rPr>
      </w:pPr>
      <w:r>
        <w:rPr>
          <w:rFonts w:cs="Calibri" w:cstheme="minorHAnsi"/>
          <w:bCs/>
          <w:szCs w:val="24"/>
        </w:rPr>
      </w:r>
    </w:p>
    <w:p>
      <w:pPr>
        <w:pStyle w:val="Normal"/>
        <w:spacing w:lineRule="auto" w:line="240" w:before="0" w:after="0"/>
        <w:ind w:left="-284" w:firstLine="568"/>
        <w:jc w:val="center"/>
        <w:rPr>
          <w:rFonts w:ascii="Calibri" w:hAnsi="Calibri" w:cs="Calibri" w:asciiTheme="minorHAnsi" w:cstheme="minorHAnsi" w:hAnsiTheme="minorHAnsi"/>
          <w:i/>
          <w:i/>
          <w:iCs/>
          <w:szCs w:val="24"/>
        </w:rPr>
      </w:pPr>
      <w:r>
        <w:rPr>
          <w:rFonts w:cs="Calibri" w:cstheme="minorHAnsi"/>
          <w:i/>
          <w:iCs/>
          <w:szCs w:val="24"/>
        </w:rPr>
        <w:t>WARIANT I – planowany przez Inwestora</w:t>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szCs w:val="24"/>
        </w:rPr>
        <w:t xml:space="preserve">Planowane przedsięwzięcie polega na budowie farmy fotowoltaicznej, która jest inwestycją prosumencką, a jej celem jest wytwarzanie energii elektrycznej ze źródeł odnawialnych dla potrzeb własnych inwestora lub w celu odsprzedaży do krajowego systemu energetycznego. </w:t>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szCs w:val="24"/>
        </w:rPr>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szCs w:val="24"/>
        </w:rPr>
        <w:t xml:space="preserve">Elektrownia fotowoltaiczna stanowi rodzaj inwestycji proekologicznych, przyczyniając się tym samym do redukcji zanieczyszczeń, jakie wprowadzane byłyby do atmosfery w trakcie pracy elektrowni konwencjonalnych (tlenki SOx, NOx, COx, frakcje pylaste). Zastosowanie odnawialnych źródeł energii jest zgodne z konstytucyjnie obowiązującą w Polsce zasadą rozwoju zrównoważonego oraz wymaganymi zobowiązaniami międzynarodowymi, wynikającymi zwłaszcza z członkostwa w Unii Europejskiej i z ratyfikowania przez Polskę Ramowej Konwencji Narodów Zjednoczonych o Przeciwdziałaniu Zmianom Klimatu oraz tzw. Protokołu z Kioto. </w:t>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szCs w:val="24"/>
        </w:rPr>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b/>
          <w:bCs/>
          <w:szCs w:val="24"/>
        </w:rPr>
        <w:t>Wariant proponowany przez Inwestora</w:t>
      </w:r>
      <w:r>
        <w:rPr>
          <w:rFonts w:cs="Calibri" w:cstheme="minorHAnsi"/>
          <w:szCs w:val="24"/>
        </w:rPr>
        <w:t xml:space="preserve"> polega na posadowieniu instalacji paneli fotowoltaicznych wraz z infrastrukturą techniczną, służących do wytwarzania energii elektrycznej z energii słonecznej o mocy do 8 MW na działkach o nr ewid. 157, 158/1, 158/2, 159, w miejscowości Szczukocice, w gminie Gorzkowice, w powiecie piotrkowskim.</w:t>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szCs w:val="24"/>
        </w:rPr>
        <w:t>Lokalizacja przedsięwzięcia na w/w działkach jest rozwiązaniem optymalnym zarówno ze względów ekologicznych, ekonomicznych, jak i społecznych. Przedstawiony wariant spełnia warunki uwzględniające ochronę środowiska naturalnego. Zasięg oddziaływania planowanego przedsięwzięcia</w:t>
        <w:br/>
        <w:t xml:space="preserve">w wariancie proponowanym przez Inwestora mieścić się będzie w granicach w/w działek i ograniczony będzie głównie do terenu zajętego bezpośrednio przez panele fotowoltaiczne i towarzyszącą im infrastrukturę. W czasie użytkowania moduły fotowoltaiczne nie są źródłem emisji oparów, hałasu, promieniowania czy innych szkodliwych substancji. Okres użytkowania modułów wynosi ok. 25 – 30 lat, po tym czasie materiały, z których są one zbudowane w całości podlegających utylizacji. Planowany czas eksploatacji instalacji fotowoltaicznej wynosi 25 – 30 lat. Po tym okresie, ze względu na brak ingerencji w strukturę gleby, teren inwestycji zostanie przywrócony do stanu pierwotnego. Wszystkie elementy instalacji fotowoltaicznej zostaną usunięte z terenu inwestycji. Instalacja fotowoltaiczna na przedmiotowym terenie nie będzie negatywnie wpływać na krajobraz kulturowy z uwagi na zlokalizowanie planowanej inwestycji w krajobrazie rolniczym oraz stosunkowo niewielką wysokość konstrukcji. Funkcjonowanie inwestycji nie jest związane ze zjawiskami nieporządnymi, jak emisją hałasu, emisją wibracji, wytwarzaniem odpadów, nie zachodzi konieczność niwelacji terenu, niszczenia stanowisk roślin chronionych oraz usunięcia roślin wysokich z obszaru zajętego przez przedsięwzięcie oraz mogących ograniczyć nasłonecznienie. </w:t>
      </w:r>
    </w:p>
    <w:p>
      <w:pPr>
        <w:pStyle w:val="Normal"/>
        <w:spacing w:lineRule="auto" w:line="240" w:before="0" w:after="0"/>
        <w:ind w:left="0" w:hanging="0"/>
        <w:rPr>
          <w:rFonts w:ascii="Calibri" w:hAnsi="Calibri" w:cs="Calibri" w:asciiTheme="minorHAnsi" w:cstheme="minorHAnsi" w:hAnsiTheme="minorHAnsi"/>
          <w:szCs w:val="24"/>
        </w:rPr>
      </w:pPr>
      <w:r>
        <w:rPr>
          <w:rFonts w:cs="Calibri" w:cstheme="minorHAnsi"/>
          <w:szCs w:val="24"/>
        </w:rPr>
      </w:r>
    </w:p>
    <w:p>
      <w:pPr>
        <w:pStyle w:val="Normal"/>
        <w:spacing w:lineRule="auto" w:line="240" w:before="0" w:after="0"/>
        <w:ind w:left="-284" w:firstLine="568"/>
        <w:rPr>
          <w:rFonts w:ascii="Calibri" w:hAnsi="Calibri" w:cs="Calibri" w:asciiTheme="minorHAnsi" w:cstheme="minorHAnsi" w:hAnsiTheme="minorHAnsi"/>
          <w:szCs w:val="24"/>
        </w:rPr>
      </w:pPr>
      <w:r>
        <w:rPr>
          <w:rFonts w:cs="Calibri" w:cstheme="minorHAnsi"/>
          <w:szCs w:val="24"/>
        </w:rPr>
      </w:r>
    </w:p>
    <w:p>
      <w:pPr>
        <w:pStyle w:val="Normal"/>
        <w:spacing w:lineRule="auto" w:line="360" w:before="0" w:after="0"/>
        <w:ind w:left="-284" w:firstLine="568"/>
        <w:rPr>
          <w:rFonts w:ascii="Calibri" w:hAnsi="Calibri" w:cs="Calibri" w:asciiTheme="minorHAnsi" w:cstheme="minorHAnsi" w:hAnsiTheme="minorHAnsi"/>
          <w:b/>
          <w:b/>
          <w:bCs/>
          <w:szCs w:val="24"/>
        </w:rPr>
      </w:pPr>
      <w:r>
        <w:rPr>
          <w:rFonts w:cs="Calibri" w:cstheme="minorHAnsi"/>
          <w:b/>
          <w:bCs/>
          <w:szCs w:val="24"/>
        </w:rPr>
        <w:t>Z powyżej wymienionych przyczyn wariant Inwestora został uznany za najbardziej korzystny.</w:t>
      </w:r>
    </w:p>
    <w:p>
      <w:pPr>
        <w:pStyle w:val="Normal"/>
        <w:spacing w:lineRule="auto" w:line="240" w:before="0" w:after="0"/>
        <w:ind w:left="-284" w:firstLine="568"/>
        <w:jc w:val="center"/>
        <w:rPr>
          <w:rFonts w:ascii="Calibri" w:hAnsi="Calibri" w:cs="Calibri" w:asciiTheme="minorHAnsi" w:cstheme="minorHAnsi" w:hAnsiTheme="minorHAnsi"/>
          <w:i/>
          <w:i/>
          <w:iCs/>
          <w:szCs w:val="24"/>
        </w:rPr>
      </w:pPr>
      <w:r>
        <w:rPr>
          <w:rFonts w:cs="Calibri" w:cstheme="minorHAnsi"/>
          <w:i/>
          <w:iCs/>
          <w:szCs w:val="24"/>
        </w:rPr>
        <w:t>WARIAT II – alternatywny</w:t>
      </w:r>
    </w:p>
    <w:p>
      <w:pPr>
        <w:pStyle w:val="Default"/>
        <w:ind w:left="-284" w:firstLine="568"/>
        <w:jc w:val="both"/>
        <w:rPr>
          <w:rFonts w:ascii="Calibri" w:hAnsi="Calibri" w:cs="Calibri" w:asciiTheme="minorHAnsi" w:cstheme="minorHAnsi" w:hAnsiTheme="minorHAnsi"/>
        </w:rPr>
      </w:pPr>
      <w:r>
        <w:rPr>
          <w:rFonts w:cs="Calibri" w:cstheme="minorHAnsi"/>
        </w:rPr>
        <w:t xml:space="preserve">W ramach wariantu alternatywnego rozważane jest zastosowanie również cienkowarstwowych paneli fotowoltaicznych, różniący się od wariantu inwestorskiego zmianą typu zastosowanych paneli, co będzie miało wpływ na przyjęte rozwiązania technologiczne, polegające m.in. na zmianie konkretnych parametrów poszczególnych elementów wchodzących w skład inwestycji. </w:t>
      </w:r>
    </w:p>
    <w:p>
      <w:pPr>
        <w:pStyle w:val="Default"/>
        <w:ind w:left="-284" w:firstLine="568"/>
        <w:jc w:val="both"/>
        <w:rPr>
          <w:rFonts w:ascii="Calibri" w:hAnsi="Calibri" w:cs="Calibri" w:asciiTheme="minorHAnsi" w:cstheme="minorHAnsi" w:hAnsiTheme="minorHAnsi"/>
        </w:rPr>
      </w:pPr>
      <w:r>
        <w:rPr>
          <w:rFonts w:cs="Calibri" w:cstheme="minorHAnsi"/>
        </w:rPr>
      </w:r>
    </w:p>
    <w:p>
      <w:pPr>
        <w:pStyle w:val="Default"/>
        <w:ind w:left="-284" w:firstLine="568"/>
        <w:jc w:val="both"/>
        <w:rPr>
          <w:rFonts w:ascii="Calibri" w:hAnsi="Calibri" w:cs="Calibri" w:asciiTheme="minorHAnsi" w:cstheme="minorHAnsi" w:hAnsiTheme="minorHAnsi"/>
        </w:rPr>
      </w:pPr>
      <w:r>
        <w:rPr>
          <w:rFonts w:cs="Calibri" w:cstheme="minorHAnsi"/>
        </w:rPr>
        <w:t xml:space="preserve">Wariant alternatywny może dotyczyć zmian skali przedsięwzięcia obejmujących m.in.: </w:t>
      </w:r>
    </w:p>
    <w:p>
      <w:pPr>
        <w:pStyle w:val="Default"/>
        <w:ind w:left="-284" w:firstLine="568"/>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ilość i moc planowanych do zastosowania paneli fotowoltaicznych, </w:t>
      </w:r>
    </w:p>
    <w:p>
      <w:pPr>
        <w:pStyle w:val="Default"/>
        <w:ind w:left="-284" w:firstLine="568"/>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mocy całej instalacji fotowoltaicznej, </w:t>
      </w:r>
    </w:p>
    <w:p>
      <w:pPr>
        <w:pStyle w:val="Default"/>
        <w:ind w:left="-284" w:firstLine="568"/>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usytuowania i położenia modułów (odległości między panelami, kątów nachylenia paneli), </w:t>
      </w:r>
    </w:p>
    <w:p>
      <w:pPr>
        <w:pStyle w:val="Default"/>
        <w:ind w:left="-284" w:firstLine="568"/>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parametrów i mocy zastosowanych falowników, </w:t>
      </w:r>
    </w:p>
    <w:p>
      <w:pPr>
        <w:pStyle w:val="Default"/>
        <w:ind w:left="-284" w:firstLine="568"/>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technologii wykonania, </w:t>
      </w:r>
    </w:p>
    <w:p>
      <w:pPr>
        <w:pStyle w:val="Default"/>
        <w:ind w:left="-284" w:firstLine="568"/>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jakości stosowanych materiałów konstrukcyjnych i wykończeniowych. </w:t>
      </w:r>
    </w:p>
    <w:p>
      <w:pPr>
        <w:pStyle w:val="Default"/>
        <w:ind w:left="-284" w:firstLine="568"/>
        <w:jc w:val="both"/>
        <w:rPr>
          <w:rFonts w:ascii="Calibri" w:hAnsi="Calibri" w:cs="Calibri" w:asciiTheme="minorHAnsi" w:cstheme="minorHAnsi" w:hAnsiTheme="minorHAnsi"/>
        </w:rPr>
      </w:pPr>
      <w:r>
        <w:rPr>
          <w:rFonts w:cs="Calibri" w:cstheme="minorHAnsi"/>
        </w:rPr>
      </w:r>
    </w:p>
    <w:p>
      <w:pPr>
        <w:pStyle w:val="Default"/>
        <w:spacing w:before="0" w:after="70"/>
        <w:ind w:left="-284" w:firstLine="568"/>
        <w:jc w:val="both"/>
        <w:rPr>
          <w:rFonts w:ascii="Calibri" w:hAnsi="Calibri" w:cs="Calibri" w:asciiTheme="minorHAnsi" w:cstheme="minorHAnsi" w:hAnsiTheme="minorHAnsi"/>
        </w:rPr>
      </w:pPr>
      <w:r>
        <w:rPr>
          <w:rFonts w:cs="Calibri" w:cstheme="minorHAnsi"/>
        </w:rPr>
        <w:t xml:space="preserve">W przedmiotowym projekcie zaproponowano optymalne parametry paneli fotowoltaicznych. Inne rozważane modele różnią się wymiarami oraz mniejszą mocą jednostkową. Zastosowanie modułów o innych parametrach spowoduje znaczny spadek efektywności produkcji energii elektrycznej i nie osiągnięcie mocy określonej w warunkach przyłączeniowych. </w:t>
      </w:r>
    </w:p>
    <w:p>
      <w:pPr>
        <w:pStyle w:val="Default"/>
        <w:ind w:left="-284" w:firstLine="568"/>
        <w:jc w:val="both"/>
        <w:rPr>
          <w:rFonts w:ascii="Calibri" w:hAnsi="Calibri" w:cs="Calibri" w:asciiTheme="minorHAnsi" w:cstheme="minorHAnsi" w:hAnsiTheme="minorHAnsi"/>
        </w:rPr>
      </w:pPr>
      <w:r>
        <w:rPr>
          <w:rFonts w:cs="Calibri" w:cstheme="minorHAnsi"/>
        </w:rPr>
        <w:t xml:space="preserve">Porównując do wariantu inwestorskiego możliwy jest nawet dwukrotny spadek produktywności farmy. </w:t>
      </w:r>
    </w:p>
    <w:p>
      <w:pPr>
        <w:pStyle w:val="Normal"/>
        <w:ind w:left="-284" w:firstLine="568"/>
        <w:rPr>
          <w:rFonts w:ascii="Calibri" w:hAnsi="Calibri" w:cs="Calibri" w:asciiTheme="minorHAnsi" w:cstheme="minorHAnsi" w:hAnsiTheme="minorHAnsi"/>
          <w:b/>
          <w:b/>
          <w:bCs/>
          <w:szCs w:val="24"/>
        </w:rPr>
      </w:pPr>
      <w:r>
        <w:rPr>
          <w:rFonts w:cs="Calibri" w:cstheme="minorHAnsi"/>
          <w:b/>
          <w:bCs/>
          <w:szCs w:val="24"/>
        </w:rPr>
        <w:t>W związku z tym wariant alternatywny jest niekorzystny ekonomicznie i wiąże się</w:t>
        <w:br/>
        <w:t>z niewykorzystaniem w pełni potencjału terenu.</w:t>
      </w:r>
    </w:p>
    <w:p>
      <w:pPr>
        <w:pStyle w:val="Normal"/>
        <w:ind w:left="-284" w:firstLine="568"/>
        <w:rPr>
          <w:rFonts w:ascii="Calibri" w:hAnsi="Calibri" w:cs="Calibri" w:asciiTheme="minorHAnsi" w:cstheme="minorHAnsi" w:hAnsiTheme="minorHAnsi"/>
          <w:b/>
          <w:b/>
          <w:bCs/>
          <w:szCs w:val="24"/>
        </w:rPr>
      </w:pPr>
      <w:r>
        <w:rPr>
          <w:rFonts w:cs="Calibri" w:cstheme="minorHAnsi"/>
          <w:b/>
          <w:bCs/>
          <w:szCs w:val="24"/>
        </w:rPr>
      </w:r>
    </w:p>
    <w:p>
      <w:pPr>
        <w:pStyle w:val="Nagwek1"/>
        <w:ind w:left="308" w:right="0" w:hanging="10"/>
        <w:rPr>
          <w:rFonts w:ascii="Calibri" w:hAnsi="Calibri" w:cs="Calibri" w:asciiTheme="minorHAnsi" w:cstheme="minorHAnsi" w:hAnsiTheme="minorHAnsi"/>
          <w:highlight w:val="white"/>
        </w:rPr>
      </w:pPr>
      <w:bookmarkStart w:id="20" w:name="_Toc121388978"/>
      <w:r>
        <w:rPr>
          <w:rFonts w:cs="Calibri" w:cstheme="minorHAnsi"/>
          <w:shd w:fill="FFFFFF" w:val="clear"/>
        </w:rPr>
        <w:t>6. Przewidywana ilość wykorzystywanej wody, surowców, materiałów, paliw oraz energii</w:t>
      </w:r>
      <w:bookmarkEnd w:id="20"/>
    </w:p>
    <w:p>
      <w:pPr>
        <w:pStyle w:val="Normal"/>
        <w:rPr>
          <w:rFonts w:ascii="Calibri" w:hAnsi="Calibri" w:cs="Calibri" w:asciiTheme="minorHAnsi" w:cstheme="minorHAnsi" w:hAnsiTheme="minorHAnsi"/>
        </w:rPr>
      </w:pPr>
      <w:r>
        <w:rPr>
          <w:rFonts w:cs="Calibri" w:cstheme="minorHAnsi"/>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Szczegółowe dane odnośnie zużycia surowców pojawią się na etapie projektu wykonawczego instalacji fotowoltaicznej. Na obecnym etapie można jedynie oszacować przybliżone wartości zużycia surowców. </w:t>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t xml:space="preserve">Etap budowy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Na etapie budowy przewiduje się największe zużycie materiałów. W związku z pracą maszyn i urządzeń oraz w trakcie transportu i montażu elementów farmy wystąpi zapotrzebowanie na paliwo. </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W trakcie wykonywania robót, pracownicy fizyczni będą mieli zapewnione odpowiednie warunkami sanitarno-higieniczne, woda będzie dostarczana na teren budowy.</w:t>
      </w:r>
      <w:bookmarkStart w:id="21" w:name="_Hlk34230946"/>
      <w:bookmarkEnd w:id="21"/>
    </w:p>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ind w:left="-284" w:hanging="0"/>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3</w:t>
      </w:r>
      <w:r>
        <w:rPr>
          <w:sz w:val="22"/>
          <w:b w:val="false"/>
          <w:szCs w:val="22"/>
          <w:bCs w:val="false"/>
        </w:rPr>
        <w:fldChar w:fldCharType="end"/>
      </w:r>
      <w:r>
        <w:rPr>
          <w:b w:val="false"/>
          <w:bCs w:val="false"/>
          <w:color w:val="auto"/>
          <w:sz w:val="22"/>
          <w:szCs w:val="22"/>
        </w:rPr>
        <w:t>. Szacunkowe zużycie materiałów, surowców i energii na etapie budowy elektrowni fotowoltaicznej do</w:t>
        <w:br/>
        <w:t>1 MW</w:t>
      </w:r>
    </w:p>
    <w:tbl>
      <w:tblPr>
        <w:tblStyle w:val="TableGrid"/>
        <w:tblW w:w="9923" w:type="dxa"/>
        <w:jc w:val="left"/>
        <w:tblInd w:w="-289" w:type="dxa"/>
        <w:tblCellMar>
          <w:top w:w="45" w:type="dxa"/>
          <w:left w:w="108" w:type="dxa"/>
          <w:bottom w:w="0" w:type="dxa"/>
          <w:right w:w="58" w:type="dxa"/>
        </w:tblCellMar>
        <w:tblLook w:firstRow="1" w:noVBand="1" w:lastRow="0" w:firstColumn="1" w:lastColumn="0" w:noHBand="0" w:val="04a0"/>
      </w:tblPr>
      <w:tblGrid>
        <w:gridCol w:w="6803"/>
        <w:gridCol w:w="3119"/>
      </w:tblGrid>
      <w:tr>
        <w:trPr>
          <w:trHeight w:val="276" w:hRule="atLeast"/>
        </w:trPr>
        <w:tc>
          <w:tcPr>
            <w:tcW w:w="6803"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0"/>
              <w:ind w:left="0" w:hanging="0"/>
              <w:jc w:val="left"/>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Woda, surowce, materiały, paliwa oraz energia: </w:t>
            </w:r>
          </w:p>
        </w:tc>
        <w:tc>
          <w:tcPr>
            <w:tcW w:w="3119"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0"/>
              <w:ind w:left="0" w:hanging="0"/>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Ilość [jm]</w:t>
            </w:r>
          </w:p>
        </w:tc>
      </w:tr>
      <w:tr>
        <w:trPr>
          <w:trHeight w:val="280"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Woda na cele socjalne (toaleta przenośna/kontener sanit.)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vertAlign w:val="superscript"/>
              </w:rPr>
            </w:pPr>
            <w:r>
              <w:rPr>
                <w:rFonts w:cs="Calibri" w:cstheme="minorHAnsi"/>
                <w:color w:val="000000" w:themeColor="text1"/>
                <w:szCs w:val="24"/>
              </w:rPr>
              <w:t>ok. 6 m</w:t>
            </w:r>
            <w:r>
              <w:rPr>
                <w:rFonts w:cs="Calibri" w:cstheme="minorHAnsi"/>
                <w:color w:val="000000" w:themeColor="text1"/>
                <w:szCs w:val="24"/>
                <w:vertAlign w:val="superscript"/>
              </w:rPr>
              <w:t>3</w:t>
            </w:r>
          </w:p>
        </w:tc>
      </w:tr>
      <w:tr>
        <w:trPr>
          <w:trHeight w:val="276"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Piasek (przy układania kabli, jeżeli zaistnieje taka konieczność)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vertAlign w:val="superscript"/>
              </w:rPr>
            </w:pPr>
            <w:r>
              <w:rPr>
                <w:rFonts w:cs="Calibri" w:cstheme="minorHAnsi"/>
                <w:color w:val="000000" w:themeColor="text1"/>
                <w:szCs w:val="24"/>
              </w:rPr>
              <w:t>ok. 8 m</w:t>
            </w:r>
            <w:r>
              <w:rPr>
                <w:rFonts w:cs="Calibri" w:cstheme="minorHAnsi"/>
                <w:color w:val="000000" w:themeColor="text1"/>
                <w:szCs w:val="24"/>
                <w:vertAlign w:val="superscript"/>
              </w:rPr>
              <w:t>3</w:t>
            </w:r>
          </w:p>
        </w:tc>
      </w:tr>
      <w:tr>
        <w:trPr>
          <w:trHeight w:val="280"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Żwir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vertAlign w:val="superscript"/>
              </w:rPr>
            </w:pPr>
            <w:r>
              <w:rPr>
                <w:rFonts w:cs="Calibri" w:cstheme="minorHAnsi"/>
                <w:color w:val="000000" w:themeColor="text1"/>
                <w:szCs w:val="24"/>
              </w:rPr>
              <w:t>ok. 20-40 m</w:t>
            </w:r>
            <w:r>
              <w:rPr>
                <w:rFonts w:cs="Calibri" w:cstheme="minorHAnsi"/>
                <w:color w:val="000000" w:themeColor="text1"/>
                <w:szCs w:val="24"/>
                <w:vertAlign w:val="superscript"/>
              </w:rPr>
              <w:t>3</w:t>
            </w:r>
          </w:p>
        </w:tc>
      </w:tr>
      <w:tr>
        <w:trPr>
          <w:trHeight w:val="548"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Paliwo (transport, maszyny: minikoparka, minipalownica, zagęszczarka …. )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vertAlign w:val="superscript"/>
              </w:rPr>
            </w:pPr>
            <w:r>
              <w:rPr>
                <w:rFonts w:cs="Calibri" w:cstheme="minorHAnsi"/>
                <w:color w:val="000000" w:themeColor="text1"/>
                <w:szCs w:val="24"/>
              </w:rPr>
              <w:t>ok. 4 m</w:t>
            </w:r>
            <w:r>
              <w:rPr>
                <w:rFonts w:cs="Calibri" w:cstheme="minorHAnsi"/>
                <w:color w:val="000000" w:themeColor="text1"/>
                <w:szCs w:val="24"/>
                <w:vertAlign w:val="superscript"/>
              </w:rPr>
              <w:t>3</w:t>
            </w:r>
          </w:p>
        </w:tc>
      </w:tr>
      <w:tr>
        <w:trPr>
          <w:trHeight w:val="276"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Energia elektryczna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1 500 kWh</w:t>
            </w:r>
          </w:p>
        </w:tc>
      </w:tr>
      <w:tr>
        <w:trPr>
          <w:trHeight w:val="233" w:hRule="atLeast"/>
        </w:trPr>
        <w:tc>
          <w:tcPr>
            <w:tcW w:w="6803"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0"/>
              <w:ind w:left="0" w:hanging="0"/>
              <w:jc w:val="left"/>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 xml:space="preserve"> </w:t>
            </w:r>
            <w:r>
              <w:rPr>
                <w:rFonts w:cs="Calibri" w:cstheme="minorHAnsi"/>
                <w:b/>
                <w:bCs/>
                <w:color w:val="000000" w:themeColor="text1"/>
                <w:szCs w:val="24"/>
              </w:rPr>
              <w:t xml:space="preserve">Materiały, wyposażenie i urządzenia elektrowni: </w:t>
            </w:r>
          </w:p>
        </w:tc>
        <w:tc>
          <w:tcPr>
            <w:tcW w:w="3119"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160"/>
              <w:ind w:left="-284" w:hanging="0"/>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Ilość [jm]</w:t>
            </w:r>
          </w:p>
        </w:tc>
      </w:tr>
      <w:tr>
        <w:trPr>
          <w:trHeight w:val="276"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Stal (konstrukcje wsporcze + ogrodzenie)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ok. 67 Mg</w:t>
            </w:r>
          </w:p>
        </w:tc>
      </w:tr>
      <w:tr>
        <w:trPr>
          <w:trHeight w:val="280"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Panele fotowoltaiczne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do. 3700 szt. – 61Mg</w:t>
            </w:r>
          </w:p>
        </w:tc>
      </w:tr>
      <w:tr>
        <w:trPr>
          <w:trHeight w:val="276"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Trafostacja (prefabrykat żelbetowy) z wyposażeniem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ok. 28 Mg</w:t>
            </w:r>
          </w:p>
        </w:tc>
      </w:tr>
      <w:tr>
        <w:trPr>
          <w:trHeight w:val="280"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Inwertery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ok. 1 Mg</w:t>
            </w:r>
          </w:p>
        </w:tc>
      </w:tr>
      <w:tr>
        <w:trPr>
          <w:trHeight w:val="281"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Bednarka Fe/Zn do instalacji wyrównawczej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ok. 1,4 Mg</w:t>
            </w:r>
          </w:p>
        </w:tc>
      </w:tr>
      <w:tr>
        <w:trPr>
          <w:trHeight w:val="276" w:hRule="atLeast"/>
        </w:trPr>
        <w:tc>
          <w:tcPr>
            <w:tcW w:w="6803"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Kable (nn; SN; DC) </w:t>
            </w:r>
          </w:p>
        </w:tc>
        <w:tc>
          <w:tcPr>
            <w:tcW w:w="311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ok. 6Mg</w:t>
            </w:r>
          </w:p>
        </w:tc>
      </w:tr>
    </w:tbl>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t xml:space="preserve">Etap eksploatacji </w:t>
      </w:r>
    </w:p>
    <w:p>
      <w:pPr>
        <w:pStyle w:val="ListParagraph"/>
        <w:spacing w:lineRule="auto" w:line="240" w:before="0" w:after="15"/>
        <w:contextualSpacing/>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Instalacja fotowoltaiczna to instalacja bezobsługowa. Na etapie eksploatacji nie będą wykorzystywane żadne surowce naturalne. W trakcie funkcjonowania farmy nie będą powstawać odpady. W instalacji fotowoltaicznej nie ma części mechanicznych wymagających wymiany ani napraw. W panelach fotowoltaicznych zastosowana jest powłoka, która zapobiega osadzaniu się pyłów i osadów na panelach fotowoltaicznych. Nie planuje się mycia paneli fotowoltaicznych.</w:t>
      </w:r>
      <w:bookmarkStart w:id="22" w:name="_Hlk34313740"/>
      <w:bookmarkEnd w:id="22"/>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4</w:t>
      </w:r>
      <w:r>
        <w:rPr>
          <w:sz w:val="22"/>
          <w:b w:val="false"/>
          <w:szCs w:val="22"/>
          <w:bCs w:val="false"/>
        </w:rPr>
        <w:fldChar w:fldCharType="end"/>
      </w:r>
      <w:r>
        <w:rPr>
          <w:b w:val="false"/>
          <w:bCs w:val="false"/>
          <w:color w:val="auto"/>
          <w:sz w:val="22"/>
          <w:szCs w:val="22"/>
        </w:rPr>
        <w:t>. Szacunkowe zużycie materiałów, energii na etapie eksploatacji</w:t>
      </w:r>
    </w:p>
    <w:tbl>
      <w:tblPr>
        <w:tblStyle w:val="TableGrid"/>
        <w:tblW w:w="9923" w:type="dxa"/>
        <w:jc w:val="left"/>
        <w:tblInd w:w="-289" w:type="dxa"/>
        <w:tblCellMar>
          <w:top w:w="45" w:type="dxa"/>
          <w:left w:w="108" w:type="dxa"/>
          <w:bottom w:w="0" w:type="dxa"/>
          <w:right w:w="115" w:type="dxa"/>
        </w:tblCellMar>
        <w:tblLook w:firstRow="1" w:noVBand="1" w:lastRow="0" w:firstColumn="1" w:lastColumn="0" w:noHBand="0" w:val="04a0"/>
      </w:tblPr>
      <w:tblGrid>
        <w:gridCol w:w="5674"/>
        <w:gridCol w:w="4248"/>
      </w:tblGrid>
      <w:tr>
        <w:trPr>
          <w:trHeight w:val="280" w:hRule="atLeast"/>
        </w:trPr>
        <w:tc>
          <w:tcPr>
            <w:tcW w:w="5674"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0" w:hanging="0"/>
              <w:jc w:val="left"/>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Woda, surowce, materiały, paliwa oraz energia:</w:t>
            </w:r>
          </w:p>
        </w:tc>
        <w:tc>
          <w:tcPr>
            <w:tcW w:w="4248"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0" w:hanging="0"/>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Ilość [JM/rok]</w:t>
            </w:r>
          </w:p>
        </w:tc>
      </w:tr>
      <w:tr>
        <w:trPr>
          <w:trHeight w:val="276" w:hRule="atLeast"/>
        </w:trPr>
        <w:tc>
          <w:tcPr>
            <w:tcW w:w="567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Paliwo (transport, koszenie )</w:t>
            </w:r>
          </w:p>
        </w:tc>
        <w:tc>
          <w:tcPr>
            <w:tcW w:w="424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vertAlign w:val="superscript"/>
              </w:rPr>
            </w:pPr>
            <w:r>
              <w:rPr>
                <w:rFonts w:cs="Calibri" w:cstheme="minorHAnsi"/>
                <w:color w:val="000000" w:themeColor="text1"/>
                <w:szCs w:val="24"/>
              </w:rPr>
              <w:t>ok. 0,5 m</w:t>
            </w:r>
            <w:r>
              <w:rPr>
                <w:rFonts w:cs="Calibri" w:cstheme="minorHAnsi"/>
                <w:color w:val="000000" w:themeColor="text1"/>
                <w:szCs w:val="24"/>
                <w:vertAlign w:val="superscript"/>
              </w:rPr>
              <w:t>3</w:t>
            </w:r>
          </w:p>
        </w:tc>
      </w:tr>
      <w:tr>
        <w:trPr>
          <w:trHeight w:val="276" w:hRule="atLeast"/>
        </w:trPr>
        <w:tc>
          <w:tcPr>
            <w:tcW w:w="567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Energia elektryczna</w:t>
            </w:r>
          </w:p>
        </w:tc>
        <w:tc>
          <w:tcPr>
            <w:tcW w:w="424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Cs w:val="24"/>
              </w:rPr>
            </w:pPr>
            <w:r>
              <w:rPr>
                <w:rFonts w:cs="Calibri" w:cstheme="minorHAnsi"/>
                <w:color w:val="000000" w:themeColor="text1"/>
                <w:szCs w:val="24"/>
              </w:rPr>
              <w:t>ok. 10-15 MWh</w:t>
            </w:r>
          </w:p>
        </w:tc>
      </w:tr>
    </w:tbl>
    <w:p>
      <w:pPr>
        <w:pStyle w:val="ListParagraph"/>
        <w:spacing w:lineRule="auto" w:line="240" w:before="0" w:after="15"/>
        <w:contextualSpacing/>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r>
    </w:p>
    <w:p>
      <w:pPr>
        <w:pStyle w:val="ListParagraph"/>
        <w:numPr>
          <w:ilvl w:val="0"/>
          <w:numId w:val="10"/>
        </w:numPr>
        <w:spacing w:lineRule="auto" w:line="240" w:before="0" w:after="15"/>
        <w:contextualSpacing/>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t xml:space="preserve">Etap likwidacji  </w:t>
      </w:r>
    </w:p>
    <w:p>
      <w:pPr>
        <w:pStyle w:val="ListParagraph"/>
        <w:spacing w:lineRule="auto" w:line="240" w:before="0" w:after="15"/>
        <w:contextualSpacing/>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r>
    </w:p>
    <w:p>
      <w:pPr>
        <w:pStyle w:val="Normal"/>
        <w:spacing w:lineRule="auto" w:line="240"/>
        <w:ind w:left="0" w:firstLine="298"/>
        <w:rPr>
          <w:rFonts w:ascii="Calibri" w:hAnsi="Calibri" w:cs="Calibri" w:asciiTheme="minorHAnsi" w:cstheme="minorHAnsi" w:hAnsiTheme="minorHAnsi"/>
          <w:color w:val="000000" w:themeColor="text1"/>
          <w:szCs w:val="24"/>
        </w:rPr>
      </w:pPr>
      <w:r>
        <w:rPr>
          <w:rFonts w:cs="Calibri" w:cstheme="minorHAnsi"/>
          <w:color w:val="000000" w:themeColor="text1"/>
          <w:szCs w:val="24"/>
        </w:rPr>
        <w:t>Likwidacja przedsięwzięcia będzie polegać na demontażu paneli fotowoltaicznych wraz</w:t>
        <w:br/>
        <w:t xml:space="preserve">z infrastrukturą towarzyszącą oraz rekultywacji terenu w celu przywrócenie środowiska glebowego do stanu przed realizacyjnego, uzupełnienie ewentualnych ubytków mas ziemnych powstałych w wyniku prowadzenia wykopów. </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agwek1"/>
        <w:ind w:left="308" w:right="0" w:hanging="10"/>
        <w:rPr>
          <w:rFonts w:ascii="Calibri" w:hAnsi="Calibri" w:cs="Calibri" w:asciiTheme="minorHAnsi" w:cstheme="minorHAnsi" w:hAnsiTheme="minorHAnsi"/>
          <w:highlight w:val="white"/>
        </w:rPr>
      </w:pPr>
      <w:bookmarkStart w:id="23" w:name="_Toc121388979"/>
      <w:r>
        <w:rPr>
          <w:rFonts w:cs="Calibri" w:cstheme="minorHAnsi"/>
          <w:shd w:fill="FFFFFF" w:val="clear"/>
        </w:rPr>
        <w:t>7.  Rozwiązania chroniące środowisko,</w:t>
      </w:r>
      <w:bookmarkEnd w:id="23"/>
    </w:p>
    <w:p>
      <w:pPr>
        <w:pStyle w:val="Normal"/>
        <w:rPr>
          <w:rFonts w:ascii="Calibri" w:hAnsi="Calibri" w:cs="Calibri" w:asciiTheme="minorHAnsi" w:cstheme="minorHAnsi" w:hAnsiTheme="minorHAnsi"/>
        </w:rPr>
      </w:pPr>
      <w:r>
        <w:rPr>
          <w:rFonts w:cs="Calibri" w:cstheme="minorHAnsi"/>
        </w:rPr>
      </w:r>
    </w:p>
    <w:p>
      <w:pPr>
        <w:pStyle w:val="Normal"/>
        <w:spacing w:lineRule="auto" w:line="240"/>
        <w:ind w:left="-284" w:firstLine="582"/>
        <w:rPr>
          <w:rFonts w:ascii="Calibri" w:hAnsi="Calibri" w:cs="Calibri" w:asciiTheme="minorHAnsi" w:cstheme="minorHAnsi" w:hAnsiTheme="minorHAnsi"/>
          <w:color w:val="000000" w:themeColor="text1"/>
        </w:rPr>
      </w:pPr>
      <w:r>
        <w:rPr>
          <w:rFonts w:cs="Calibri" w:cstheme="minorHAnsi"/>
          <w:color w:val="000000" w:themeColor="text1"/>
        </w:rPr>
        <w:t xml:space="preserve">Planowane przedsięwzięcie nie pogorszy warunków środowiskowych. Oddziaływania inwestycji na środowisko pojawiające się na etapie realizacji mieszczą się w granicach dopuszczalnych poszczególnych komponentów środowiska. Przedmiotowa inwestycja zostanie zrealizowana w sposób zgodny z wymogami ochrony środowiska. </w:t>
      </w:r>
    </w:p>
    <w:p>
      <w:pPr>
        <w:pStyle w:val="Normal"/>
        <w:spacing w:lineRule="auto" w:line="240"/>
        <w:ind w:left="-284" w:firstLine="582"/>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ListParagraph"/>
        <w:numPr>
          <w:ilvl w:val="0"/>
          <w:numId w:val="9"/>
        </w:numPr>
        <w:tabs>
          <w:tab w:val="clear" w:pos="708"/>
          <w:tab w:val="center" w:pos="1378" w:leader="none"/>
        </w:tabs>
        <w:spacing w:lineRule="auto" w:line="240" w:before="0" w:after="15"/>
        <w:ind w:left="709" w:hanging="283"/>
        <w:contextualSpacing/>
        <w:jc w:val="left"/>
        <w:rPr>
          <w:rFonts w:ascii="Calibri" w:hAnsi="Calibri" w:cs="Calibri" w:asciiTheme="minorHAnsi" w:cstheme="minorHAnsi" w:hAnsiTheme="minorHAnsi"/>
          <w:b/>
          <w:b/>
          <w:color w:val="000000" w:themeColor="text1"/>
        </w:rPr>
      </w:pPr>
      <w:r>
        <w:rPr>
          <w:rFonts w:cs="Calibri" w:cstheme="minorHAnsi"/>
          <w:b/>
          <w:color w:val="000000" w:themeColor="text1"/>
        </w:rPr>
        <w:t xml:space="preserve">Faza budowy  </w:t>
      </w:r>
    </w:p>
    <w:p>
      <w:pPr>
        <w:pStyle w:val="ListParagraph"/>
        <w:tabs>
          <w:tab w:val="clear" w:pos="708"/>
          <w:tab w:val="center" w:pos="1378" w:leader="none"/>
        </w:tabs>
        <w:spacing w:lineRule="auto" w:line="240" w:before="0" w:after="15"/>
        <w:ind w:left="709" w:hanging="0"/>
        <w:contextualSpacing/>
        <w:jc w:val="left"/>
        <w:rPr>
          <w:rFonts w:ascii="Calibri" w:hAnsi="Calibri" w:cs="Calibri" w:asciiTheme="minorHAnsi" w:cstheme="minorHAnsi" w:hAnsiTheme="minorHAnsi"/>
          <w:b/>
          <w:b/>
          <w:color w:val="000000" w:themeColor="text1"/>
        </w:rPr>
      </w:pPr>
      <w:r>
        <w:rPr>
          <w:rFonts w:cs="Calibri" w:cstheme="minorHAnsi"/>
          <w:b/>
          <w:color w:val="000000" w:themeColor="text1"/>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W fazie realizacji instalacji paneli fotowoltaicznych będą występowały zjawiska towarzyszące drobnym robotom ziemnym oraz montażowym. </w:t>
      </w:r>
      <w:r>
        <w:rPr/>
        <w:t xml:space="preserve">Realizację przedsięwzięcia planuje się przeprowadzić poza sezonem lęgowym ptaków tj. po 15 sierpnia i przed 15 marca oraz w miarę możliwości sezonem wegetacyjnym, determinującym aktywność entomofauny. </w:t>
      </w:r>
      <w:r>
        <w:rPr>
          <w:rFonts w:cs="Calibri" w:cstheme="minorHAnsi"/>
          <w:color w:val="000000" w:themeColor="text1"/>
        </w:rPr>
        <w:t xml:space="preserve"> Materiały budowlane będą dostarczane przez firmy zewnętrzne i magazynowane w wyznaczonym do tego miejscu. W przypadku niesprzyjających warunków atmosferycznych materiały budowlane będą przechowywane w kontenerach magazynowych. Sprzęt budowlany będzie pracował w porze dziennej w godzinach między 6.00 a 22.00, co przyczynia się do zminimalizowania uciążliwości związanych z etapem realizacji przedsięwzięcia. Na terenie inwestycji nie będą wykonywane czynności uzupełniania paliwa i naprawy sprzętu. Planowane instalacje są bezobsługowe co za tym idzie, wszystkie naprawy i konserwacje sprzętu będą wykonywane poza terenem inwestycji. Ponadto zaplecze budowy będzie zlokalizowane w oddaleniu od zabudowy podlegającej ochronie akustycznej.</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Zaplecze budowy zostanie zorganizowane w sposób zapewniający oszczędne korzystanie</w:t>
        <w:br/>
        <w:t>z terenu i minimalne przekształcenie jego powierzchni. Zaplecze budowy instalacji będą stanowiły</w:t>
        <w:br/>
        <w:t>2 kontenery, jeden gospodarczy dla pracowników a drugi jako magazyn dla sprzętu. Zaplecze zostanie zabezpieczone przed przedostaniem się zanieczyszczeń do gruntu i wód. W tym celu, plac budowy będzie wyposażony w środki służące do neutralizacji rozlanych substancji ropopochodnych,</w:t>
        <w:br/>
        <w:t>a w przypadku wystąpienia awaryjnego wycieku substancji ropopochodnych i skażenia gruntu, zostanie przeprowadzona, za pośrednictwem wykwalifikowanej firmy, rekultywacja skażonego obszaru za pomocą sorbentów.</w:t>
      </w:r>
    </w:p>
    <w:p>
      <w:pPr>
        <w:pStyle w:val="Normal"/>
        <w:spacing w:lineRule="auto" w:line="240" w:before="0" w:after="0"/>
        <w:ind w:left="-284" w:hanging="0"/>
        <w:rPr>
          <w:rFonts w:ascii="Calibri" w:hAnsi="Calibri" w:cs="Calibri" w:asciiTheme="minorHAnsi" w:cstheme="minorHAnsi" w:hAnsiTheme="minorHAnsi"/>
          <w:b/>
          <w:b/>
          <w:color w:val="000000" w:themeColor="text1"/>
        </w:rPr>
      </w:pPr>
      <w:r>
        <w:rPr>
          <w:rFonts w:cs="Calibri" w:cstheme="minorHAnsi"/>
          <w:b/>
          <w:color w:val="000000" w:themeColor="text1"/>
        </w:rPr>
      </w:r>
    </w:p>
    <w:p>
      <w:pPr>
        <w:pStyle w:val="Normal"/>
        <w:spacing w:lineRule="auto" w:line="240" w:before="0" w:after="0"/>
        <w:ind w:left="-284" w:hanging="0"/>
        <w:jc w:val="center"/>
        <w:rPr>
          <w:rFonts w:ascii="Calibri" w:hAnsi="Calibri" w:cs="Calibri" w:asciiTheme="minorHAnsi" w:cstheme="minorHAnsi" w:hAnsiTheme="minorHAnsi"/>
          <w:color w:val="000000" w:themeColor="text1"/>
          <w:u w:val="single"/>
        </w:rPr>
      </w:pPr>
      <w:r>
        <w:rPr>
          <w:rFonts w:cs="Calibri" w:cstheme="minorHAnsi"/>
          <w:color w:val="000000" w:themeColor="text1"/>
          <w:u w:val="single"/>
        </w:rPr>
        <w:t>Ograniczenie emisji zanieczyszczeń do atmosfery</w:t>
      </w:r>
    </w:p>
    <w:p>
      <w:pPr>
        <w:pStyle w:val="Normal"/>
        <w:spacing w:lineRule="auto" w:line="240" w:before="0" w:after="0"/>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Planowane przedsięwzięcie nie będzie trwałym ogniskiem emisji zanieczyszczeń powietrza. Faza realizacji przedsięwzięcia doprowadzi do tymczasowego i krótkotrwałego zwiększenia zanieczyszczenia powietrza atmosferycznego pyłami i gazami, powstałymi na skutek działania maszyn niezbędnych do transportu i montażu elementów farmy. Emisja zanieczyszczeń będzie niewielka i nie spowoduje zmian w środowisku przyrodniczym. Utrzymywanie porządku oraz systematyczne czyszczenie terenu planowanej inwestycji spowoduje ograniczenie emisji wtórnej.</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5</w:t>
      </w:r>
      <w:r>
        <w:rPr>
          <w:sz w:val="22"/>
          <w:b w:val="false"/>
          <w:szCs w:val="22"/>
          <w:bCs w:val="false"/>
        </w:rPr>
        <w:fldChar w:fldCharType="end"/>
      </w:r>
      <w:r>
        <w:rPr>
          <w:b w:val="false"/>
          <w:bCs w:val="false"/>
          <w:color w:val="auto"/>
          <w:sz w:val="22"/>
          <w:szCs w:val="22"/>
        </w:rPr>
        <w:t>. Wskaźniki głównych rodzajów zanieczyszczeń emitowanych z silników spalinowych [g/kg zużytego paliwa]</w:t>
      </w:r>
    </w:p>
    <w:tbl>
      <w:tblPr>
        <w:tblStyle w:val="TableGrid1"/>
        <w:tblW w:w="9969" w:type="dxa"/>
        <w:jc w:val="left"/>
        <w:tblInd w:w="-289" w:type="dxa"/>
        <w:tblCellMar>
          <w:top w:w="35" w:type="dxa"/>
          <w:left w:w="108" w:type="dxa"/>
          <w:bottom w:w="0" w:type="dxa"/>
          <w:right w:w="22" w:type="dxa"/>
        </w:tblCellMar>
        <w:tblLook w:firstRow="1" w:noVBand="1" w:lastRow="0" w:firstColumn="1" w:lastColumn="0" w:noHBand="0" w:val="04a0"/>
      </w:tblPr>
      <w:tblGrid>
        <w:gridCol w:w="991"/>
        <w:gridCol w:w="1590"/>
        <w:gridCol w:w="972"/>
        <w:gridCol w:w="2"/>
        <w:gridCol w:w="900"/>
        <w:gridCol w:w="2"/>
        <w:gridCol w:w="609"/>
        <w:gridCol w:w="2"/>
        <w:gridCol w:w="1411"/>
        <w:gridCol w:w="2"/>
        <w:gridCol w:w="1412"/>
        <w:gridCol w:w="2"/>
        <w:gridCol w:w="515"/>
        <w:gridCol w:w="2"/>
        <w:gridCol w:w="966"/>
        <w:gridCol w:w="2"/>
        <w:gridCol w:w="588"/>
      </w:tblGrid>
      <w:tr>
        <w:trPr>
          <w:trHeight w:val="703" w:hRule="atLeast"/>
        </w:trPr>
        <w:tc>
          <w:tcPr>
            <w:tcW w:w="991"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lp.</w:t>
            </w:r>
          </w:p>
        </w:tc>
        <w:tc>
          <w:tcPr>
            <w:tcW w:w="2564" w:type="dxa"/>
            <w:gridSpan w:val="3"/>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KATEGORIA SILNIKÓW TRANSPORTU</w:t>
            </w:r>
          </w:p>
        </w:tc>
        <w:tc>
          <w:tcPr>
            <w:tcW w:w="902"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DWUTLENEK WĘGLA</w:t>
            </w:r>
          </w:p>
        </w:tc>
        <w:tc>
          <w:tcPr>
            <w:tcW w:w="611"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TLENKI AZOTU</w:t>
            </w:r>
          </w:p>
        </w:tc>
        <w:tc>
          <w:tcPr>
            <w:tcW w:w="1413"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173"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WĘGLOWODORY</w:t>
            </w:r>
          </w:p>
          <w:p>
            <w:pPr>
              <w:pStyle w:val="Normal"/>
              <w:spacing w:lineRule="auto" w:line="240" w:before="0" w:after="0"/>
              <w:ind w:left="280"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ALIFATYCZNE i POCHODNE</w:t>
            </w:r>
          </w:p>
        </w:tc>
        <w:tc>
          <w:tcPr>
            <w:tcW w:w="1414"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170"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WĘGLOWODORY</w:t>
            </w:r>
          </w:p>
          <w:p>
            <w:pPr>
              <w:pStyle w:val="Normal"/>
              <w:spacing w:lineRule="auto" w:line="240" w:before="0" w:after="0"/>
              <w:ind w:left="20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AROMATYCZNE i POCHODNE</w:t>
            </w:r>
          </w:p>
        </w:tc>
        <w:tc>
          <w:tcPr>
            <w:tcW w:w="517"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4"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PYŁY</w:t>
            </w:r>
          </w:p>
        </w:tc>
        <w:tc>
          <w:tcPr>
            <w:tcW w:w="968"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6"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DWUTLENEK</w:t>
            </w:r>
          </w:p>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SIARKI</w:t>
            </w:r>
          </w:p>
        </w:tc>
        <w:tc>
          <w:tcPr>
            <w:tcW w:w="588"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OŁÓW</w:t>
            </w:r>
          </w:p>
        </w:tc>
      </w:tr>
      <w:tr>
        <w:trPr>
          <w:trHeight w:val="752"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1</w:t>
            </w:r>
          </w:p>
        </w:tc>
        <w:tc>
          <w:tcPr>
            <w:tcW w:w="2564" w:type="dxa"/>
            <w:gridSpan w:val="3"/>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15"/>
              <w:ind w:left="72" w:hanging="0"/>
              <w:rPr>
                <w:rFonts w:ascii="Calibri" w:hAnsi="Calibri" w:cs="Calibri" w:asciiTheme="minorHAnsi" w:cstheme="minorHAnsi" w:hAnsiTheme="minorHAnsi"/>
                <w:color w:val="000000" w:themeColor="text1"/>
                <w:sz w:val="20"/>
              </w:rPr>
            </w:pPr>
            <w:r>
              <w:rPr>
                <w:rFonts w:cs="Calibri" w:cstheme="minorHAnsi"/>
                <w:color w:val="000000" w:themeColor="text1"/>
                <w:sz w:val="20"/>
              </w:rPr>
              <w:t xml:space="preserve">Samochody osobowe </w:t>
            </w:r>
          </w:p>
          <w:p>
            <w:pPr>
              <w:pStyle w:val="Normal"/>
              <w:spacing w:lineRule="auto" w:line="240" w:before="0" w:after="15"/>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z silnikami ZI</w:t>
            </w:r>
            <w:r>
              <w:rPr>
                <w:rFonts w:cs="Calibri" w:cstheme="minorHAnsi"/>
                <w:color w:val="000000" w:themeColor="text1"/>
              </w:rPr>
              <w:t xml:space="preserve"> </w:t>
            </w:r>
            <w:r>
              <w:rPr>
                <w:rFonts w:cs="Calibri" w:cstheme="minorHAnsi"/>
                <w:color w:val="000000" w:themeColor="text1"/>
                <w:sz w:val="20"/>
              </w:rPr>
              <w:t>z katalizatorami</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16</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4</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1,5</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0,6</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w:t>
            </w:r>
          </w:p>
        </w:tc>
        <w:tc>
          <w:tcPr>
            <w:tcW w:w="5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r>
      <w:tr>
        <w:trPr>
          <w:trHeight w:val="508"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2</w:t>
            </w:r>
          </w:p>
        </w:tc>
        <w:tc>
          <w:tcPr>
            <w:tcW w:w="159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Samochody</w:t>
            </w:r>
          </w:p>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z silnikami ZS</w:t>
            </w:r>
          </w:p>
        </w:tc>
        <w:tc>
          <w:tcPr>
            <w:tcW w:w="97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115" w:hanging="0"/>
              <w:rPr>
                <w:rFonts w:ascii="Calibri" w:hAnsi="Calibri" w:cs="Calibri" w:asciiTheme="minorHAnsi" w:cstheme="minorHAnsi" w:hAnsiTheme="minorHAnsi"/>
                <w:color w:val="000000" w:themeColor="text1"/>
              </w:rPr>
            </w:pPr>
            <w:r>
              <w:rPr>
                <w:rFonts w:cs="Calibri" w:cstheme="minorHAnsi"/>
                <w:color w:val="000000" w:themeColor="text1"/>
                <w:sz w:val="20"/>
              </w:rPr>
              <w:t>osobowe</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21</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10</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1,5</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0,6</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3,7</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w:t>
            </w:r>
          </w:p>
        </w:tc>
        <w:tc>
          <w:tcPr>
            <w:tcW w:w="590"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r>
      <w:tr>
        <w:trPr>
          <w:trHeight w:val="509"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3</w:t>
            </w:r>
          </w:p>
        </w:tc>
        <w:tc>
          <w:tcPr>
            <w:tcW w:w="159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Samochody</w:t>
            </w:r>
          </w:p>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z silnikami ZI</w:t>
            </w:r>
          </w:p>
        </w:tc>
        <w:tc>
          <w:tcPr>
            <w:tcW w:w="97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0" w:hanging="0"/>
              <w:rPr>
                <w:rFonts w:ascii="Calibri" w:hAnsi="Calibri" w:cs="Calibri" w:asciiTheme="minorHAnsi" w:cstheme="minorHAnsi" w:hAnsiTheme="minorHAnsi"/>
                <w:color w:val="000000" w:themeColor="text1"/>
              </w:rPr>
            </w:pPr>
            <w:r>
              <w:rPr>
                <w:rFonts w:cs="Calibri" w:cstheme="minorHAnsi"/>
                <w:color w:val="000000" w:themeColor="text1"/>
                <w:sz w:val="20"/>
              </w:rPr>
              <w:t>dostawcze</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320</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30</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13</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w:t>
            </w:r>
          </w:p>
        </w:tc>
        <w:tc>
          <w:tcPr>
            <w:tcW w:w="590"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0,15</w:t>
            </w:r>
          </w:p>
        </w:tc>
      </w:tr>
      <w:tr>
        <w:trPr>
          <w:trHeight w:val="508"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4</w:t>
            </w:r>
          </w:p>
        </w:tc>
        <w:tc>
          <w:tcPr>
            <w:tcW w:w="159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Samochody</w:t>
            </w:r>
          </w:p>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z silnikami ZS</w:t>
            </w:r>
          </w:p>
        </w:tc>
        <w:tc>
          <w:tcPr>
            <w:tcW w:w="97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0" w:hanging="0"/>
              <w:rPr>
                <w:rFonts w:ascii="Calibri" w:hAnsi="Calibri" w:cs="Calibri" w:asciiTheme="minorHAnsi" w:cstheme="minorHAnsi" w:hAnsiTheme="minorHAnsi"/>
                <w:color w:val="000000" w:themeColor="text1"/>
              </w:rPr>
            </w:pPr>
            <w:r>
              <w:rPr>
                <w:rFonts w:cs="Calibri" w:cstheme="minorHAnsi"/>
                <w:color w:val="000000" w:themeColor="text1"/>
                <w:sz w:val="20"/>
              </w:rPr>
              <w:t>dostawcze</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40</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21</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4</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1,8</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3,7</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w:t>
            </w:r>
          </w:p>
        </w:tc>
        <w:tc>
          <w:tcPr>
            <w:tcW w:w="590"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r>
      <w:tr>
        <w:trPr>
          <w:trHeight w:val="936"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5</w:t>
            </w:r>
          </w:p>
        </w:tc>
        <w:tc>
          <w:tcPr>
            <w:tcW w:w="2564" w:type="dxa"/>
            <w:gridSpan w:val="3"/>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72" w:hanging="0"/>
              <w:rPr>
                <w:rFonts w:ascii="Calibri" w:hAnsi="Calibri" w:cs="Calibri" w:asciiTheme="minorHAnsi" w:cstheme="minorHAnsi" w:hAnsiTheme="minorHAnsi"/>
                <w:color w:val="000000" w:themeColor="text1"/>
                <w:sz w:val="20"/>
              </w:rPr>
            </w:pPr>
            <w:r>
              <w:rPr>
                <w:rFonts w:cs="Calibri" w:cstheme="minorHAnsi"/>
                <w:color w:val="000000" w:themeColor="text1"/>
                <w:sz w:val="20"/>
              </w:rPr>
              <w:t xml:space="preserve">Samochody ciężarowe </w:t>
            </w:r>
          </w:p>
          <w:p>
            <w:pPr>
              <w:pStyle w:val="Normal"/>
              <w:spacing w:lineRule="auto" w:line="240" w:before="0" w:after="0"/>
              <w:ind w:left="72" w:hanging="0"/>
              <w:rPr>
                <w:rFonts w:ascii="Calibri" w:hAnsi="Calibri" w:cs="Calibri" w:asciiTheme="minorHAnsi" w:cstheme="minorHAnsi" w:hAnsiTheme="minorHAnsi"/>
                <w:color w:val="000000" w:themeColor="text1"/>
                <w:sz w:val="20"/>
              </w:rPr>
            </w:pPr>
            <w:r>
              <w:rPr>
                <w:rFonts w:cs="Calibri" w:cstheme="minorHAnsi"/>
                <w:color w:val="000000" w:themeColor="text1"/>
                <w:sz w:val="20"/>
              </w:rPr>
              <w:t xml:space="preserve">i autobusy z silnikami ZS </w:t>
            </w:r>
          </w:p>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o masie całkowitej 3,5-16 t</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37</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66</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8,5</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3,5</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4,3</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w:t>
            </w:r>
          </w:p>
        </w:tc>
        <w:tc>
          <w:tcPr>
            <w:tcW w:w="5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r>
      <w:tr>
        <w:trPr>
          <w:trHeight w:val="751"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6</w:t>
            </w:r>
          </w:p>
        </w:tc>
        <w:tc>
          <w:tcPr>
            <w:tcW w:w="2564" w:type="dxa"/>
            <w:gridSpan w:val="3"/>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72" w:hanging="0"/>
              <w:rPr>
                <w:rFonts w:ascii="Calibri" w:hAnsi="Calibri" w:cs="Calibri" w:asciiTheme="minorHAnsi" w:cstheme="minorHAnsi" w:hAnsiTheme="minorHAnsi"/>
                <w:color w:val="000000" w:themeColor="text1"/>
                <w:sz w:val="20"/>
              </w:rPr>
            </w:pPr>
            <w:r>
              <w:rPr>
                <w:rFonts w:cs="Calibri" w:cstheme="minorHAnsi"/>
                <w:color w:val="000000" w:themeColor="text1"/>
                <w:sz w:val="20"/>
              </w:rPr>
              <w:t xml:space="preserve">Samochody ciężarowe </w:t>
            </w:r>
          </w:p>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z silnikami ZS o masie</w:t>
            </w:r>
            <w:r>
              <w:rPr>
                <w:rFonts w:cs="Calibri" w:cstheme="minorHAnsi"/>
                <w:color w:val="000000" w:themeColor="text1"/>
              </w:rPr>
              <w:t xml:space="preserve"> </w:t>
            </w:r>
            <w:r>
              <w:rPr>
                <w:rFonts w:cs="Calibri" w:cstheme="minorHAnsi"/>
                <w:color w:val="000000" w:themeColor="text1"/>
                <w:sz w:val="20"/>
              </w:rPr>
              <w:t>całkowitej &gt;16 t</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23</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76</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13</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4,3</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w:t>
            </w:r>
          </w:p>
        </w:tc>
        <w:tc>
          <w:tcPr>
            <w:tcW w:w="5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r>
      <w:tr>
        <w:trPr>
          <w:trHeight w:val="334" w:hRule="atLeast"/>
        </w:trPr>
        <w:tc>
          <w:tcPr>
            <w:tcW w:w="99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1" w:hanging="0"/>
              <w:jc w:val="center"/>
              <w:rPr>
                <w:rFonts w:ascii="Calibri" w:hAnsi="Calibri" w:cs="Calibri" w:asciiTheme="minorHAnsi" w:cstheme="minorHAnsi" w:hAnsiTheme="minorHAnsi"/>
                <w:color w:val="000000" w:themeColor="text1"/>
              </w:rPr>
            </w:pPr>
            <w:r>
              <w:rPr>
                <w:rFonts w:cs="Calibri" w:cstheme="minorHAnsi"/>
                <w:b/>
                <w:color w:val="000000" w:themeColor="text1"/>
                <w:sz w:val="16"/>
              </w:rPr>
              <w:t>7</w:t>
            </w:r>
          </w:p>
        </w:tc>
        <w:tc>
          <w:tcPr>
            <w:tcW w:w="2564" w:type="dxa"/>
            <w:gridSpan w:val="3"/>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72" w:hanging="0"/>
              <w:rPr>
                <w:rFonts w:ascii="Calibri" w:hAnsi="Calibri" w:cs="Calibri" w:asciiTheme="minorHAnsi" w:cstheme="minorHAnsi" w:hAnsiTheme="minorHAnsi"/>
                <w:color w:val="000000" w:themeColor="text1"/>
              </w:rPr>
            </w:pPr>
            <w:r>
              <w:rPr>
                <w:rFonts w:cs="Calibri" w:cstheme="minorHAnsi"/>
                <w:color w:val="000000" w:themeColor="text1"/>
                <w:sz w:val="20"/>
              </w:rPr>
              <w:t>Autobusy</w:t>
            </w:r>
          </w:p>
        </w:tc>
        <w:tc>
          <w:tcPr>
            <w:tcW w:w="902"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20</w:t>
            </w:r>
          </w:p>
        </w:tc>
        <w:tc>
          <w:tcPr>
            <w:tcW w:w="611"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50</w:t>
            </w:r>
          </w:p>
        </w:tc>
        <w:tc>
          <w:tcPr>
            <w:tcW w:w="1413"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5"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5,5</w:t>
            </w:r>
          </w:p>
        </w:tc>
        <w:tc>
          <w:tcPr>
            <w:tcW w:w="1414"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0"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2,5</w:t>
            </w:r>
          </w:p>
        </w:tc>
        <w:tc>
          <w:tcPr>
            <w:tcW w:w="517"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2"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4</w:t>
            </w:r>
          </w:p>
        </w:tc>
        <w:tc>
          <w:tcPr>
            <w:tcW w:w="968" w:type="dxa"/>
            <w:gridSpan w:val="2"/>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6</w:t>
            </w:r>
          </w:p>
        </w:tc>
        <w:tc>
          <w:tcPr>
            <w:tcW w:w="5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rPr>
            </w:pPr>
            <w:r>
              <w:rPr>
                <w:rFonts w:cs="Calibri" w:cstheme="minorHAnsi"/>
                <w:color w:val="000000" w:themeColor="text1"/>
                <w:sz w:val="20"/>
              </w:rPr>
              <w:t>0</w:t>
            </w:r>
          </w:p>
        </w:tc>
      </w:tr>
    </w:tbl>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Na podstawie powyższych wskaźników obliczono emisje spalin podczas prac pięciu pojazdów ciężarowych podczas jednej doby na terenie planowanej inwestycji:</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5 pojazdów/d x 10 km x 300 g/1 km = 15 kg/d </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0"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0"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0"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Caption"/>
        <w:keepNext w:val="true"/>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6</w:t>
      </w:r>
      <w:r>
        <w:rPr>
          <w:sz w:val="22"/>
          <w:b w:val="false"/>
          <w:szCs w:val="22"/>
          <w:bCs w:val="false"/>
        </w:rPr>
        <w:fldChar w:fldCharType="end"/>
      </w:r>
      <w:r>
        <w:rPr>
          <w:b w:val="false"/>
          <w:bCs w:val="false"/>
          <w:color w:val="auto"/>
          <w:sz w:val="22"/>
          <w:szCs w:val="22"/>
        </w:rPr>
        <w:t>. Wskaźniki emisji substancji do otoczenia dla pojazdów ciężarowych</w:t>
      </w:r>
    </w:p>
    <w:tbl>
      <w:tblPr>
        <w:tblStyle w:val="TableGrid"/>
        <w:tblW w:w="9929" w:type="dxa"/>
        <w:jc w:val="left"/>
        <w:tblInd w:w="-289" w:type="dxa"/>
        <w:tblCellMar>
          <w:top w:w="35" w:type="dxa"/>
          <w:left w:w="115" w:type="dxa"/>
          <w:bottom w:w="0" w:type="dxa"/>
          <w:right w:w="85" w:type="dxa"/>
        </w:tblCellMar>
        <w:tblLook w:firstRow="1" w:noVBand="1" w:lastRow="0" w:firstColumn="1" w:lastColumn="0" w:noHBand="0" w:val="04a0"/>
      </w:tblPr>
      <w:tblGrid>
        <w:gridCol w:w="1562"/>
        <w:gridCol w:w="1985"/>
        <w:gridCol w:w="2849"/>
        <w:gridCol w:w="3532"/>
      </w:tblGrid>
      <w:tr>
        <w:trPr>
          <w:trHeight w:val="841" w:hRule="atLeast"/>
        </w:trPr>
        <w:tc>
          <w:tcPr>
            <w:tcW w:w="1562"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LP.</w:t>
            </w:r>
          </w:p>
        </w:tc>
        <w:tc>
          <w:tcPr>
            <w:tcW w:w="1985"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SUBSTANCJA</w:t>
            </w:r>
          </w:p>
        </w:tc>
        <w:tc>
          <w:tcPr>
            <w:tcW w:w="2849"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WSKAŹNIK EMISJI dla POJAZDÓW CIĘŻAROWYCH [g/kg]</w:t>
            </w:r>
          </w:p>
        </w:tc>
        <w:tc>
          <w:tcPr>
            <w:tcW w:w="3532"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WSKAŹNIK EMISJI dla POJAZDÓW CIĘŻAROWYCH</w:t>
            </w:r>
          </w:p>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[kg/h]</w:t>
            </w:r>
          </w:p>
        </w:tc>
      </w:tr>
      <w:tr>
        <w:trPr>
          <w:trHeight w:val="418" w:hRule="atLeast"/>
        </w:trPr>
        <w:tc>
          <w:tcPr>
            <w:tcW w:w="156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w:t>
            </w:r>
          </w:p>
        </w:tc>
        <w:tc>
          <w:tcPr>
            <w:tcW w:w="1985"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Pył zawieszony</w:t>
            </w:r>
          </w:p>
        </w:tc>
        <w:tc>
          <w:tcPr>
            <w:tcW w:w="284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4,3</w:t>
            </w:r>
          </w:p>
        </w:tc>
        <w:tc>
          <w:tcPr>
            <w:tcW w:w="35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0,0602</w:t>
            </w:r>
          </w:p>
        </w:tc>
      </w:tr>
      <w:tr>
        <w:trPr>
          <w:trHeight w:val="416" w:hRule="atLeast"/>
        </w:trPr>
        <w:tc>
          <w:tcPr>
            <w:tcW w:w="156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w:t>
            </w:r>
          </w:p>
        </w:tc>
        <w:tc>
          <w:tcPr>
            <w:tcW w:w="1985"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Dwutlenek siarki</w:t>
            </w:r>
          </w:p>
        </w:tc>
        <w:tc>
          <w:tcPr>
            <w:tcW w:w="284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6</w:t>
            </w:r>
          </w:p>
        </w:tc>
        <w:tc>
          <w:tcPr>
            <w:tcW w:w="35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0,084</w:t>
            </w:r>
          </w:p>
        </w:tc>
      </w:tr>
      <w:tr>
        <w:trPr>
          <w:trHeight w:val="418" w:hRule="atLeast"/>
        </w:trPr>
        <w:tc>
          <w:tcPr>
            <w:tcW w:w="156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3</w:t>
            </w:r>
          </w:p>
        </w:tc>
        <w:tc>
          <w:tcPr>
            <w:tcW w:w="1985"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Tlenki azotu</w:t>
            </w:r>
          </w:p>
        </w:tc>
        <w:tc>
          <w:tcPr>
            <w:tcW w:w="284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66</w:t>
            </w:r>
          </w:p>
        </w:tc>
        <w:tc>
          <w:tcPr>
            <w:tcW w:w="35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0,924</w:t>
            </w:r>
          </w:p>
        </w:tc>
      </w:tr>
      <w:tr>
        <w:trPr>
          <w:trHeight w:val="416" w:hRule="atLeast"/>
        </w:trPr>
        <w:tc>
          <w:tcPr>
            <w:tcW w:w="156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4</w:t>
            </w:r>
          </w:p>
        </w:tc>
        <w:tc>
          <w:tcPr>
            <w:tcW w:w="1985"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Tlenek węgla</w:t>
            </w:r>
          </w:p>
        </w:tc>
        <w:tc>
          <w:tcPr>
            <w:tcW w:w="284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37</w:t>
            </w:r>
          </w:p>
        </w:tc>
        <w:tc>
          <w:tcPr>
            <w:tcW w:w="35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0,518</w:t>
            </w:r>
          </w:p>
        </w:tc>
      </w:tr>
      <w:tr>
        <w:trPr>
          <w:trHeight w:val="509" w:hRule="atLeast"/>
        </w:trPr>
        <w:tc>
          <w:tcPr>
            <w:tcW w:w="156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5</w:t>
            </w:r>
          </w:p>
        </w:tc>
        <w:tc>
          <w:tcPr>
            <w:tcW w:w="1985"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Węglowodory alifatyczne</w:t>
            </w:r>
          </w:p>
        </w:tc>
        <w:tc>
          <w:tcPr>
            <w:tcW w:w="284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8,5</w:t>
            </w:r>
          </w:p>
        </w:tc>
        <w:tc>
          <w:tcPr>
            <w:tcW w:w="35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0,119</w:t>
            </w:r>
          </w:p>
        </w:tc>
      </w:tr>
      <w:tr>
        <w:trPr>
          <w:trHeight w:val="505" w:hRule="atLeast"/>
        </w:trPr>
        <w:tc>
          <w:tcPr>
            <w:tcW w:w="156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6</w:t>
            </w:r>
          </w:p>
        </w:tc>
        <w:tc>
          <w:tcPr>
            <w:tcW w:w="1985"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Węglowodory aromatyczne</w:t>
            </w:r>
          </w:p>
        </w:tc>
        <w:tc>
          <w:tcPr>
            <w:tcW w:w="284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3,5</w:t>
            </w:r>
          </w:p>
        </w:tc>
        <w:tc>
          <w:tcPr>
            <w:tcW w:w="35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27"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0,049</w:t>
            </w:r>
          </w:p>
        </w:tc>
      </w:tr>
    </w:tbl>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Ze względu na charakter rozprzestrzeniania się zanieczyszczenia w powietrzu atmosferycznym można  określić jako ulegające szybkiemu rozproszeniu. </w:t>
      </w:r>
    </w:p>
    <w:p>
      <w:pPr>
        <w:pStyle w:val="Normal"/>
        <w:spacing w:lineRule="auto" w:line="240"/>
        <w:ind w:left="-284"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Emisja  zanieczyszczeń  do  powietrza  będzie  miała  charakter oddziaływania bezpośredniego, krótkoterminowego i chwilowego.  </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Wykorzystanie odpadu</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Prace przy budowie analizowanej inwestycji  wykonywane będą przez firmę zewnętrzną. Zgodnie z art. 3, ust. 1, pkt. 32 ustawy z dnia 14 grudnia 2012 r. o odpadach, wytwórcą odpadów powstających </w:t>
        <w:br/>
        <w:t xml:space="preserve">w wyniku świadczenia usług w zakresie budowy, rozbiórki, remontu obiektów, czyszczenia zbiorników </w:t>
        <w:br/>
        <w:t>i urządzeń do sprzątania, konserwacji i napraw będzie podmiot, który świadczy usługę, chyba że umowa o świadczenie usług stanowić będzie inaczej (Dz.U. z 2021 r. poz. 779). Wytwarzane w trakcie budowy odpady komunalne i budowlane będą składowane i odbierane przez odpowiednie służby. Inwestycja wiąże się z obecnością ok. 6 pracowników przez około trzy tygodnie na terenie planowanej inwestycji. To z kolei wiąże się ze zużyciem wody na potrzeby fizjologiczne pracowników, woda będzie dostarczana na teren budowy. W trakcie wykonywania robót, pracownicy fizyczni będą mieli zapewnione odpowiednie warunkami sanitarno-higieniczne. Miedzy innymi będzie to wyposażenie budowy w odpowiednie pojemniki odpowiadające normie, 120 l objętości dla każdych 10-ciu pracowników. Miejsce magazynowania odpadów budowlanych będzie wynikać z organizacji placu budowy wykonawcy. Na obecnym etapie nie jest możliwe określenie dokładnego miejsca ich składowania.</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Ochrona powierzchni ziemi</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W trakcie budowy farmy fotowoltaicznej wykorzystywane maszyny oraz urządzenia będą w odpowiednim stanie technicznym, w celu zminimalizowania możliwości wycieku z nich substancji niebezpiecznych (oleje, paliwo).</w:t>
      </w:r>
    </w:p>
    <w:p>
      <w:pPr>
        <w:pStyle w:val="Normal"/>
        <w:spacing w:lineRule="auto" w:line="240" w:before="0" w:after="0"/>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r>
    </w:p>
    <w:p>
      <w:pPr>
        <w:pStyle w:val="Normal"/>
        <w:spacing w:lineRule="auto" w:line="240" w:before="0" w:after="0"/>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Ochrona przed hałasem</w:t>
      </w:r>
    </w:p>
    <w:p>
      <w:pPr>
        <w:pStyle w:val="Normal"/>
        <w:spacing w:lineRule="auto" w:line="240"/>
        <w:ind w:left="-284" w:firstLine="582"/>
        <w:rPr>
          <w:rFonts w:ascii="Calibri" w:hAnsi="Calibri" w:cs="Calibri" w:asciiTheme="minorHAnsi" w:cstheme="minorHAnsi" w:hAnsiTheme="minorHAnsi"/>
          <w:color w:val="000000" w:themeColor="text1"/>
        </w:rPr>
      </w:pPr>
      <w:r>
        <w:rPr>
          <w:rFonts w:cs="Calibri" w:cstheme="minorHAnsi"/>
          <w:color w:val="000000" w:themeColor="text1"/>
        </w:rPr>
        <w:t xml:space="preserve">Krótkotrwałe oddziaływanie związane z emisją hałasu, może pojawić się w trakcie montażu urządzeń, jednak będzie się on mieścił się w normie. Na etapie budowy projektowanej instalacji fotowoltaicznej do najbardziej uciążliwych oddziaływań zaliczyć można hałas emitowany przez pojazdy transportujące poszczególne elementy konstrukcji.  </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W celu minimalizacji hałasu na etapie budowy zostaną zastosowane następujące rozwiązania: </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Wykonawca prac budowlanych winien wprowadzić najmniej uciążliwą akustycznie technologię prac budowlanych,</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Prowadzenie prac w miarę możliwości wyłącznie w godzinach pomiędzy 6.00 a 22.00,</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Zaplecze budowy powinno być zlokalizowane w oddaleniu od zabudowy,</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 xml:space="preserve">Wykorzystywane maszyny i urządzenia powinny być sprawne i spełniać wymagania określone </w:t>
        <w:br/>
        <w:t>w rozporządzeniu Ministra Gospodarki z dnia 21 grudnia 2005 r. w sprawie zasadniczych wymagań dla urządzeń używanych na zewnątrz pomieszczeń w zakresie emisji hałasu do środowiska (Dz. U. 2005 nr 263, poz. 2202 z późn. zm.),</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 xml:space="preserve">Przygotowanie informacji do okolicznych użytkowników terenu o planowanych pracach budowlanych i okresowych uciążliwościach związanych z ich przeprowadzeniem. </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Minimalizacja zużycia wody i wytwarzania ścieków. Pracownicy wykonujący prace budowlane będą korzystać ze specjalnie do tego przetransportowanych na teren inwestycji kontenerów sanitarnych.</w:t>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Ochrona fauny</w:t>
      </w:r>
    </w:p>
    <w:p>
      <w:pPr>
        <w:pStyle w:val="ListParagraph"/>
        <w:spacing w:before="0" w:after="468"/>
        <w:ind w:left="-142" w:firstLine="426"/>
        <w:contextualSpacing/>
        <w:rPr>
          <w:rFonts w:ascii="Calibri" w:hAnsi="Calibri" w:cs="Calibri" w:asciiTheme="minorHAnsi" w:cstheme="minorHAnsi" w:hAnsiTheme="minorHAnsi"/>
          <w:b/>
          <w:b/>
          <w:bCs/>
          <w:color w:val="auto"/>
          <w:szCs w:val="24"/>
          <w:highlight w:val="green"/>
        </w:rPr>
      </w:pPr>
      <w:r>
        <w:rPr>
          <w:rFonts w:cs="Calibri" w:cstheme="minorHAnsi"/>
          <w:color w:val="000000" w:themeColor="text1"/>
        </w:rPr>
        <w:t xml:space="preserve">Planowana elektrownia fotowoltaiczna nie przyczyni się do zniszczenia bądź dewastacji siedlisk przyrodniczych, nie będzie także tworzyła zagrożeń dla gatunków chronionych. W związku z czym </w:t>
      </w:r>
      <w:r>
        <w:rPr>
          <w:rFonts w:cs="Calibri" w:cstheme="minorHAnsi"/>
          <w:color w:val="000000" w:themeColor="text1"/>
          <w:u w:val="single"/>
        </w:rPr>
        <w:t>inwestycja nie wymaga naruszenia i przekształcania siedlisk naturalnych, bądź półnaturalnych,</w:t>
      </w:r>
      <w:r>
        <w:rPr>
          <w:rFonts w:cs="Calibri" w:cstheme="minorHAnsi"/>
          <w:color w:val="000000" w:themeColor="text1"/>
        </w:rPr>
        <w:t xml:space="preserve"> usunięcia drzew i krzewów, czy zajęcia siedlisk wrażliwych będących potencjalnym miejscem występowania gatunków chronionych. </w:t>
      </w:r>
      <w:r>
        <w:rPr>
          <w:rFonts w:cs="Calibri" w:cstheme="minorHAnsi"/>
          <w:color w:val="auto"/>
          <w:szCs w:val="24"/>
          <w:shd w:fill="FFFFFF" w:val="clear"/>
        </w:rPr>
        <w:t>W ramach zabezpieczenia terenu prowadzonych prac przewiduje się ewentualne wykopy i miejsca prac ziemnych na czas realizacji inwestycji ogrodzić siatką o oczkach nie większych niż 0,5 cm i wysoką, na co najmniej 50 cm, która będzie wkopana w ziemię. Wszystkie drobne kręgowce bytujące w ogrodzonej strefie zostaną przeniesione w bezpieczne miejsce o zbliżonej charakterystyce.</w:t>
      </w:r>
      <w:r>
        <w:rPr>
          <w:rFonts w:cs="Calibri" w:cstheme="minorHAnsi"/>
          <w:color w:val="auto"/>
        </w:rPr>
        <w:t xml:space="preserve"> Ponadto budowa farmy fotowoltaicznej nie wymaga naruszenia i przekształcania siedlisk naturalnych, bądź półnaturalnych, usunięcia drzew i krzewów, czy zajęcia siedlisk wrażliwych będących potencjalnym miejscem występowania gatunków chronionych.</w:t>
      </w:r>
      <w:bookmarkStart w:id="24" w:name="_Hlk55551592"/>
      <w:bookmarkEnd w:id="24"/>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W celu ochrony i zminimalizowania ewentualnego oddziaływania na płazy w trakcie realizacji wykopów pod linie elektroenergetyczne zostaną podjęte działania:</w:t>
      </w:r>
    </w:p>
    <w:p>
      <w:pPr>
        <w:pStyle w:val="ListParagraph"/>
        <w:numPr>
          <w:ilvl w:val="0"/>
          <w:numId w:val="4"/>
        </w:numPr>
        <w:spacing w:lineRule="auto" w:line="240" w:before="0" w:after="0"/>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t>Prace będą prowadzone w sposób niepowodujący powstania zastoisk i zalewisk, które mogą być wykorzystywane przez płazy jako siedliska lęgowe,</w:t>
      </w:r>
    </w:p>
    <w:p>
      <w:pPr>
        <w:pStyle w:val="ListParagraph"/>
        <w:numPr>
          <w:ilvl w:val="0"/>
          <w:numId w:val="4"/>
        </w:numPr>
        <w:spacing w:lineRule="auto" w:line="240" w:before="0" w:after="0"/>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t>W wykopach o wąskim rozstawie (np. pod instalacje kablowe) stosowane będą punktowe pochylnie umożliwiające opuszczenie wykopu przez zwierzęta,</w:t>
      </w:r>
    </w:p>
    <w:p>
      <w:pPr>
        <w:pStyle w:val="ListParagraph"/>
        <w:numPr>
          <w:ilvl w:val="0"/>
          <w:numId w:val="4"/>
        </w:numPr>
        <w:spacing w:lineRule="auto" w:line="240" w:before="0" w:after="0"/>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t>Prace będą prowadzone w sposób umożliwiający przemieszczanie się ze stref zagrożenia zwierząt, które mimo zastosowanych zabezpieczeń przedostały się na obszar objęty robotami.</w:t>
      </w:r>
    </w:p>
    <w:p>
      <w:pPr>
        <w:pStyle w:val="ListParagraph"/>
        <w:numPr>
          <w:ilvl w:val="0"/>
          <w:numId w:val="4"/>
        </w:numPr>
        <w:spacing w:lineRule="auto" w:line="240" w:before="0" w:after="0"/>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t xml:space="preserve">Wykopy zostaną zabezpieczone przed dostępem płazów przez zastosowanie wygrodzeń zabezpieczających. </w:t>
      </w:r>
    </w:p>
    <w:p>
      <w:pPr>
        <w:pStyle w:val="Normal"/>
        <w:spacing w:lineRule="auto" w:line="240" w:before="0" w:after="143"/>
        <w:ind w:left="-284" w:firstLine="568"/>
        <w:rPr>
          <w:rFonts w:ascii="Calibri" w:hAnsi="Calibri" w:asciiTheme="minorHAnsi" w:hAnsiTheme="minorHAnsi"/>
          <w:color w:val="000000" w:themeColor="text1"/>
        </w:rPr>
      </w:pPr>
      <w:bookmarkStart w:id="25" w:name="_Hlk34315026"/>
      <w:r>
        <w:rPr>
          <w:rFonts w:asciiTheme="minorHAnsi" w:hAnsiTheme="minorHAnsi"/>
          <w:color w:val="000000" w:themeColor="text1"/>
        </w:rPr>
        <w:t xml:space="preserve">Jeżeli planowana inwestycja będzie wymagała wycinki drzew i krzewów to zgodnie z art. 83 Ustawy z dnia 16 kwietnia 2004 r. o ochronie przyrody (Dz.U.2022.916) zostanie złożony odpowiedni wniosek. W tym momencie nie możemy jednoznacznie określić konieczności wycinki w przyszłości. </w:t>
      </w:r>
      <w:bookmarkEnd w:id="25"/>
    </w:p>
    <w:p>
      <w:pPr>
        <w:pStyle w:val="Normal"/>
        <w:spacing w:lineRule="auto" w:line="240" w:before="0" w:after="143"/>
        <w:ind w:left="-284" w:firstLine="568"/>
        <w:rPr>
          <w:rFonts w:ascii="Calibri" w:hAnsi="Calibri" w:asciiTheme="minorHAnsi" w:hAnsiTheme="minorHAnsi"/>
          <w:color w:val="000000" w:themeColor="text1"/>
        </w:rPr>
      </w:pPr>
      <w:r>
        <w:rPr>
          <w:rFonts w:asciiTheme="minorHAnsi" w:hAnsiTheme="minorHAnsi"/>
          <w:color w:val="000000" w:themeColor="text1"/>
        </w:rPr>
      </w:r>
    </w:p>
    <w:p>
      <w:pPr>
        <w:pStyle w:val="Normal"/>
        <w:spacing w:lineRule="auto" w:line="240" w:before="0" w:after="143"/>
        <w:ind w:left="-284" w:firstLine="568"/>
        <w:rPr>
          <w:rFonts w:ascii="Calibri" w:hAnsi="Calibri" w:asciiTheme="minorHAnsi" w:hAnsiTheme="minorHAnsi"/>
          <w:color w:val="000000" w:themeColor="text1"/>
        </w:rPr>
      </w:pPr>
      <w:r>
        <w:rPr>
          <w:rFonts w:asciiTheme="minorHAnsi" w:hAnsiTheme="minorHAnsi"/>
          <w:color w:val="000000" w:themeColor="text1"/>
        </w:rPr>
      </w:r>
    </w:p>
    <w:p>
      <w:pPr>
        <w:pStyle w:val="Normal"/>
        <w:spacing w:lineRule="auto" w:line="240" w:before="0" w:after="143"/>
        <w:ind w:left="-284" w:firstLine="568"/>
        <w:rPr>
          <w:rFonts w:ascii="Calibri" w:hAnsi="Calibri" w:asciiTheme="minorHAnsi" w:hAnsiTheme="minorHAnsi"/>
          <w:color w:val="000000" w:themeColor="text1"/>
        </w:rPr>
      </w:pPr>
      <w:r>
        <w:rPr>
          <w:rFonts w:asciiTheme="minorHAnsi" w:hAnsiTheme="minorHAnsi"/>
          <w:color w:val="000000" w:themeColor="text1"/>
        </w:rPr>
      </w:r>
    </w:p>
    <w:p>
      <w:pPr>
        <w:pStyle w:val="ListParagraph"/>
        <w:numPr>
          <w:ilvl w:val="0"/>
          <w:numId w:val="9"/>
        </w:numPr>
        <w:spacing w:lineRule="auto" w:line="240" w:before="0" w:after="143"/>
        <w:ind w:left="709" w:hanging="283"/>
        <w:contextualSpacing/>
        <w:rPr>
          <w:rFonts w:ascii="Calibri" w:hAnsi="Calibri" w:cs="Calibri" w:asciiTheme="minorHAnsi" w:cstheme="minorHAnsi" w:hAnsiTheme="minorHAnsi"/>
          <w:b/>
          <w:b/>
          <w:color w:val="000000" w:themeColor="text1"/>
        </w:rPr>
      </w:pPr>
      <w:r>
        <w:rPr>
          <w:rFonts w:cs="Calibri" w:cstheme="minorHAnsi"/>
          <w:b/>
          <w:color w:val="000000" w:themeColor="text1"/>
        </w:rPr>
        <w:t xml:space="preserve">Faza eksploatacji </w:t>
      </w:r>
      <w:r>
        <w:rPr>
          <w:rFonts w:cs="Calibri" w:cstheme="minorHAnsi"/>
          <w:color w:val="000000" w:themeColor="text1"/>
        </w:rPr>
        <w:t xml:space="preserve">                                                                                                                                     </w:t>
      </w:r>
    </w:p>
    <w:p>
      <w:pPr>
        <w:pStyle w:val="Normal"/>
        <w:spacing w:lineRule="auto" w:line="240" w:before="0" w:after="143"/>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u w:val="single"/>
        </w:rPr>
        <w:t>Ograniczenie emisji zanieczyszczeń do atmosfery</w:t>
      </w:r>
    </w:p>
    <w:p>
      <w:pPr>
        <w:pStyle w:val="Normal"/>
        <w:spacing w:lineRule="auto" w:line="240" w:before="0" w:after="143"/>
        <w:ind w:left="-284" w:hanging="0"/>
        <w:rPr>
          <w:szCs w:val="24"/>
        </w:rPr>
      </w:pPr>
      <w:r>
        <w:rPr>
          <w:rFonts w:cs="Calibri" w:cstheme="minorHAnsi"/>
          <w:color w:val="000000" w:themeColor="text1"/>
        </w:rPr>
        <w:t>Farma fotowoltaiczna nie będzie emitować zanieczyszczeń do powietrza.</w:t>
      </w:r>
    </w:p>
    <w:p>
      <w:pPr>
        <w:pStyle w:val="Normal"/>
        <w:spacing w:lineRule="auto" w:line="240"/>
        <w:ind w:left="-284" w:right="158" w:hanging="0"/>
        <w:jc w:val="left"/>
        <w:rPr>
          <w:szCs w:val="24"/>
        </w:rPr>
      </w:pPr>
      <w:r>
        <w:rPr>
          <w:szCs w:val="24"/>
        </w:rPr>
        <w:t>Przewiduje się, że instalacja o mocy 1 MW rocznie produkować będzie ok. 1 GWh/rok, produkcja energii na tym poziomie pozwoli zmniejszyć emisje zanieczyszczeń do atmosfery.</w:t>
      </w:r>
    </w:p>
    <w:p>
      <w:pPr>
        <w:pStyle w:val="Normal"/>
        <w:spacing w:lineRule="auto" w:line="240"/>
        <w:ind w:left="-284" w:right="158" w:hanging="0"/>
        <w:jc w:val="left"/>
        <w:rPr>
          <w:szCs w:val="24"/>
        </w:rPr>
      </w:pPr>
      <w:r>
        <w:rPr>
          <w:szCs w:val="24"/>
        </w:rPr>
      </w:r>
    </w:p>
    <w:p>
      <w:pPr>
        <w:pStyle w:val="Normal"/>
        <w:spacing w:lineRule="auto" w:line="240"/>
        <w:ind w:left="-284" w:right="158" w:hanging="0"/>
        <w:rPr/>
      </w:pPr>
      <w:r>
        <w:rPr/>
        <w:t>Wskaźniki emisji w [kg/MWh] dla energii elektrycznej wyprodukowanej w instalacjach do spalania paliw:</w:t>
      </w:r>
    </w:p>
    <w:p>
      <w:pPr>
        <w:pStyle w:val="Normal"/>
        <w:spacing w:lineRule="auto" w:line="240"/>
        <w:ind w:left="-284" w:right="158" w:hanging="0"/>
        <w:rPr/>
      </w:pPr>
      <w:r>
        <w:rPr/>
      </w:r>
    </w:p>
    <w:p>
      <w:pPr>
        <w:pStyle w:val="Caption"/>
        <w:keepNext w:val="true"/>
        <w:spacing w:before="0" w:after="0"/>
        <w:jc w:val="left"/>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7</w:t>
      </w:r>
      <w:r>
        <w:rPr>
          <w:sz w:val="22"/>
          <w:b w:val="false"/>
          <w:szCs w:val="22"/>
          <w:bCs w:val="false"/>
        </w:rPr>
        <w:fldChar w:fldCharType="end"/>
      </w:r>
      <w:r>
        <w:rPr>
          <w:b w:val="false"/>
          <w:bCs w:val="false"/>
          <w:color w:val="auto"/>
          <w:sz w:val="22"/>
          <w:szCs w:val="22"/>
        </w:rPr>
        <w:t>. Wskaźniki emisyjności dla energii elektrycznej.</w:t>
      </w:r>
    </w:p>
    <w:tbl>
      <w:tblPr>
        <w:tblStyle w:val="Tabela-Siatka"/>
        <w:tblW w:w="9331" w:type="dxa"/>
        <w:jc w:val="left"/>
        <w:tblInd w:w="298" w:type="dxa"/>
        <w:tblCellMar>
          <w:top w:w="0" w:type="dxa"/>
          <w:left w:w="108" w:type="dxa"/>
          <w:bottom w:w="0" w:type="dxa"/>
          <w:right w:w="108" w:type="dxa"/>
        </w:tblCellMar>
        <w:tblLook w:firstRow="1" w:noVBand="1" w:lastRow="0" w:firstColumn="1" w:lastColumn="0" w:noHBand="0" w:val="04a0"/>
      </w:tblPr>
      <w:tblGrid>
        <w:gridCol w:w="4645"/>
        <w:gridCol w:w="4685"/>
      </w:tblGrid>
      <w:tr>
        <w:trPr/>
        <w:tc>
          <w:tcPr>
            <w:tcW w:w="4645" w:type="dxa"/>
            <w:tcBorders/>
            <w:shd w:color="auto" w:fill="BFBFBF" w:themeFill="background1" w:themeFillShade="bf" w:val="clear"/>
          </w:tcPr>
          <w:p>
            <w:pPr>
              <w:pStyle w:val="Normal"/>
              <w:spacing w:lineRule="auto" w:line="240" w:before="0" w:after="0"/>
              <w:ind w:left="0" w:hanging="0"/>
              <w:jc w:val="center"/>
              <w:rPr>
                <w:lang w:eastAsia="zh-CN"/>
              </w:rPr>
            </w:pPr>
            <w:r>
              <w:rPr>
                <w:rFonts w:eastAsia="Calibri" w:eastAsiaTheme="minorHAnsi"/>
                <w:lang w:eastAsia="zh-CN"/>
              </w:rPr>
              <w:t>Emitowane substancje</w:t>
            </w:r>
          </w:p>
        </w:tc>
        <w:tc>
          <w:tcPr>
            <w:tcW w:w="4685" w:type="dxa"/>
            <w:tcBorders/>
            <w:shd w:color="auto" w:fill="BFBFBF" w:themeFill="background1" w:themeFillShade="bf" w:val="clear"/>
          </w:tcPr>
          <w:p>
            <w:pPr>
              <w:pStyle w:val="Normal"/>
              <w:spacing w:lineRule="auto" w:line="240" w:before="0" w:after="0"/>
              <w:ind w:left="0" w:hanging="0"/>
              <w:jc w:val="center"/>
              <w:rPr>
                <w:lang w:eastAsia="zh-CN"/>
              </w:rPr>
            </w:pPr>
            <w:r>
              <w:rPr>
                <w:rFonts w:eastAsia="Calibri" w:eastAsiaTheme="minorHAnsi"/>
                <w:lang w:eastAsia="zh-CN"/>
              </w:rPr>
              <w:t>[kg/MWh]</w:t>
            </w:r>
          </w:p>
        </w:tc>
      </w:tr>
      <w:tr>
        <w:trPr/>
        <w:tc>
          <w:tcPr>
            <w:tcW w:w="4645" w:type="dxa"/>
            <w:tcBorders/>
            <w:shd w:color="auto" w:fill="F2F2F2" w:themeFill="background1" w:themeFillShade="f2" w:val="clear"/>
          </w:tcPr>
          <w:p>
            <w:pPr>
              <w:pStyle w:val="Normal"/>
              <w:spacing w:lineRule="auto" w:line="240" w:before="0" w:after="0"/>
              <w:ind w:left="0" w:hanging="0"/>
              <w:rPr>
                <w:lang w:eastAsia="zh-CN"/>
              </w:rPr>
            </w:pPr>
            <w:r>
              <w:rPr>
                <w:rFonts w:eastAsia="Calibri" w:eastAsiaTheme="minorHAnsi"/>
                <w:lang w:eastAsia="zh-CN"/>
              </w:rPr>
              <w:t>Dwutlenek węgla (CO</w:t>
            </w:r>
            <w:r>
              <w:rPr>
                <w:rFonts w:eastAsia="Calibri" w:eastAsiaTheme="minorHAnsi"/>
                <w:vertAlign w:val="subscript"/>
                <w:lang w:eastAsia="zh-CN"/>
              </w:rPr>
              <w:t>2</w:t>
            </w:r>
            <w:r>
              <w:rPr>
                <w:rFonts w:eastAsia="Calibri" w:eastAsiaTheme="minorHAnsi"/>
                <w:lang w:eastAsia="zh-CN"/>
              </w:rPr>
              <w:t>)</w:t>
            </w:r>
          </w:p>
        </w:tc>
        <w:tc>
          <w:tcPr>
            <w:tcW w:w="4685" w:type="dxa"/>
            <w:tcBorders/>
            <w:shd w:fill="auto" w:val="clear"/>
          </w:tcPr>
          <w:p>
            <w:pPr>
              <w:pStyle w:val="Normal"/>
              <w:spacing w:lineRule="auto" w:line="240" w:before="0" w:after="0"/>
              <w:ind w:left="0" w:hanging="0"/>
              <w:jc w:val="center"/>
              <w:rPr>
                <w:lang w:eastAsia="zh-CN"/>
              </w:rPr>
            </w:pPr>
            <w:r>
              <w:rPr>
                <w:rFonts w:eastAsia="Calibri" w:eastAsiaTheme="minorHAnsi"/>
                <w:lang w:eastAsia="zh-CN"/>
              </w:rPr>
              <w:t>792</w:t>
            </w:r>
          </w:p>
        </w:tc>
      </w:tr>
      <w:tr>
        <w:trPr/>
        <w:tc>
          <w:tcPr>
            <w:tcW w:w="4645" w:type="dxa"/>
            <w:tcBorders/>
            <w:shd w:color="auto" w:fill="F2F2F2" w:themeFill="background1" w:themeFillShade="f2" w:val="clear"/>
          </w:tcPr>
          <w:p>
            <w:pPr>
              <w:pStyle w:val="Normal"/>
              <w:spacing w:lineRule="auto" w:line="240" w:before="0" w:after="0"/>
              <w:ind w:left="0" w:hanging="0"/>
              <w:rPr>
                <w:lang w:eastAsia="zh-CN"/>
              </w:rPr>
            </w:pPr>
            <w:r>
              <w:rPr>
                <w:rFonts w:eastAsia="Calibri" w:eastAsiaTheme="minorHAnsi"/>
                <w:lang w:eastAsia="zh-CN"/>
              </w:rPr>
              <w:t>Tlenki siarki (SO</w:t>
            </w:r>
            <w:r>
              <w:rPr>
                <w:rFonts w:eastAsia="Calibri" w:eastAsiaTheme="minorHAnsi"/>
                <w:vertAlign w:val="subscript"/>
                <w:lang w:eastAsia="zh-CN"/>
              </w:rPr>
              <w:t>x</w:t>
            </w:r>
            <w:r>
              <w:rPr>
                <w:rFonts w:eastAsia="Calibri" w:eastAsiaTheme="minorHAnsi"/>
                <w:lang w:eastAsia="zh-CN"/>
              </w:rPr>
              <w:t>/SO</w:t>
            </w:r>
            <w:r>
              <w:rPr>
                <w:rFonts w:eastAsia="Calibri" w:eastAsiaTheme="minorHAnsi"/>
                <w:vertAlign w:val="subscript"/>
                <w:lang w:eastAsia="zh-CN"/>
              </w:rPr>
              <w:t>2</w:t>
            </w:r>
            <w:r>
              <w:rPr>
                <w:rFonts w:eastAsia="Calibri" w:eastAsiaTheme="minorHAnsi"/>
                <w:lang w:eastAsia="zh-CN"/>
              </w:rPr>
              <w:t>)</w:t>
            </w:r>
          </w:p>
        </w:tc>
        <w:tc>
          <w:tcPr>
            <w:tcW w:w="4685" w:type="dxa"/>
            <w:tcBorders/>
            <w:shd w:fill="auto" w:val="clear"/>
          </w:tcPr>
          <w:p>
            <w:pPr>
              <w:pStyle w:val="Normal"/>
              <w:spacing w:lineRule="auto" w:line="240" w:before="0" w:after="0"/>
              <w:ind w:left="0" w:hanging="0"/>
              <w:jc w:val="center"/>
              <w:rPr>
                <w:lang w:eastAsia="zh-CN"/>
              </w:rPr>
            </w:pPr>
            <w:r>
              <w:rPr>
                <w:rFonts w:eastAsia="Calibri" w:eastAsiaTheme="minorHAnsi"/>
                <w:lang w:eastAsia="zh-CN"/>
              </w:rPr>
              <w:t>0,704</w:t>
            </w:r>
          </w:p>
        </w:tc>
      </w:tr>
      <w:tr>
        <w:trPr/>
        <w:tc>
          <w:tcPr>
            <w:tcW w:w="4645" w:type="dxa"/>
            <w:tcBorders/>
            <w:shd w:color="auto" w:fill="F2F2F2" w:themeFill="background1" w:themeFillShade="f2" w:val="clear"/>
          </w:tcPr>
          <w:p>
            <w:pPr>
              <w:pStyle w:val="Normal"/>
              <w:spacing w:lineRule="auto" w:line="240" w:before="0" w:after="0"/>
              <w:ind w:left="0" w:hanging="0"/>
              <w:rPr>
                <w:lang w:eastAsia="zh-CN"/>
              </w:rPr>
            </w:pPr>
            <w:r>
              <w:rPr>
                <w:rFonts w:eastAsia="Calibri" w:eastAsiaTheme="minorHAnsi"/>
                <w:lang w:eastAsia="zh-CN"/>
              </w:rPr>
              <w:t>Tlenki azotu (NO</w:t>
            </w:r>
            <w:r>
              <w:rPr>
                <w:rFonts w:eastAsia="Calibri" w:eastAsiaTheme="minorHAnsi"/>
                <w:vertAlign w:val="subscript"/>
                <w:lang w:eastAsia="zh-CN"/>
              </w:rPr>
              <w:t>x</w:t>
            </w:r>
            <w:r>
              <w:rPr>
                <w:rFonts w:eastAsia="Calibri" w:eastAsiaTheme="minorHAnsi"/>
                <w:lang w:eastAsia="zh-CN"/>
              </w:rPr>
              <w:t>/NO</w:t>
            </w:r>
            <w:r>
              <w:rPr>
                <w:rFonts w:eastAsia="Calibri" w:eastAsiaTheme="minorHAnsi"/>
                <w:vertAlign w:val="subscript"/>
                <w:lang w:eastAsia="zh-CN"/>
              </w:rPr>
              <w:t>2</w:t>
            </w:r>
            <w:r>
              <w:rPr>
                <w:rFonts w:eastAsia="Calibri" w:eastAsiaTheme="minorHAnsi"/>
                <w:lang w:eastAsia="zh-CN"/>
              </w:rPr>
              <w:t>)</w:t>
            </w:r>
          </w:p>
        </w:tc>
        <w:tc>
          <w:tcPr>
            <w:tcW w:w="4685" w:type="dxa"/>
            <w:tcBorders/>
            <w:shd w:fill="auto" w:val="clear"/>
          </w:tcPr>
          <w:p>
            <w:pPr>
              <w:pStyle w:val="Normal"/>
              <w:spacing w:lineRule="auto" w:line="240" w:before="0" w:after="0"/>
              <w:ind w:left="0" w:hanging="0"/>
              <w:jc w:val="center"/>
              <w:rPr>
                <w:lang w:eastAsia="zh-CN"/>
              </w:rPr>
            </w:pPr>
            <w:r>
              <w:rPr>
                <w:rFonts w:eastAsia="Calibri" w:eastAsiaTheme="minorHAnsi"/>
                <w:lang w:eastAsia="zh-CN"/>
              </w:rPr>
              <w:t>0,623</w:t>
            </w:r>
          </w:p>
        </w:tc>
      </w:tr>
      <w:tr>
        <w:trPr/>
        <w:tc>
          <w:tcPr>
            <w:tcW w:w="4645" w:type="dxa"/>
            <w:tcBorders/>
            <w:shd w:color="auto" w:fill="F2F2F2" w:themeFill="background1" w:themeFillShade="f2" w:val="clear"/>
          </w:tcPr>
          <w:p>
            <w:pPr>
              <w:pStyle w:val="Normal"/>
              <w:spacing w:lineRule="auto" w:line="240" w:before="0" w:after="0"/>
              <w:ind w:left="0" w:hanging="0"/>
              <w:rPr>
                <w:lang w:eastAsia="zh-CN"/>
              </w:rPr>
            </w:pPr>
            <w:r>
              <w:rPr>
                <w:rFonts w:eastAsia="Calibri" w:eastAsiaTheme="minorHAnsi"/>
                <w:lang w:eastAsia="zh-CN"/>
              </w:rPr>
              <w:t>Tlenki węgla (CO)</w:t>
            </w:r>
          </w:p>
        </w:tc>
        <w:tc>
          <w:tcPr>
            <w:tcW w:w="4685" w:type="dxa"/>
            <w:tcBorders/>
            <w:shd w:fill="auto" w:val="clear"/>
          </w:tcPr>
          <w:p>
            <w:pPr>
              <w:pStyle w:val="Normal"/>
              <w:spacing w:lineRule="auto" w:line="240" w:before="0" w:after="0"/>
              <w:ind w:left="0" w:hanging="0"/>
              <w:jc w:val="center"/>
              <w:rPr>
                <w:lang w:eastAsia="zh-CN"/>
              </w:rPr>
            </w:pPr>
            <w:r>
              <w:rPr>
                <w:rFonts w:eastAsia="Calibri" w:eastAsiaTheme="minorHAnsi"/>
                <w:lang w:eastAsia="zh-CN"/>
              </w:rPr>
              <w:t>0,285</w:t>
            </w:r>
          </w:p>
        </w:tc>
      </w:tr>
      <w:tr>
        <w:trPr/>
        <w:tc>
          <w:tcPr>
            <w:tcW w:w="4645" w:type="dxa"/>
            <w:tcBorders/>
            <w:shd w:color="auto" w:fill="F2F2F2" w:themeFill="background1" w:themeFillShade="f2" w:val="clear"/>
          </w:tcPr>
          <w:p>
            <w:pPr>
              <w:pStyle w:val="Normal"/>
              <w:spacing w:lineRule="auto" w:line="240" w:before="0" w:after="0"/>
              <w:ind w:left="0" w:hanging="0"/>
              <w:rPr>
                <w:lang w:eastAsia="zh-CN"/>
              </w:rPr>
            </w:pPr>
            <w:r>
              <w:rPr>
                <w:rFonts w:eastAsia="Calibri" w:eastAsiaTheme="minorHAnsi"/>
                <w:lang w:eastAsia="zh-CN"/>
              </w:rPr>
              <w:t>Pył całkowity</w:t>
            </w:r>
          </w:p>
        </w:tc>
        <w:tc>
          <w:tcPr>
            <w:tcW w:w="4685" w:type="dxa"/>
            <w:tcBorders/>
            <w:shd w:fill="auto" w:val="clear"/>
          </w:tcPr>
          <w:p>
            <w:pPr>
              <w:pStyle w:val="Normal"/>
              <w:spacing w:lineRule="auto" w:line="240" w:before="0" w:after="0"/>
              <w:ind w:left="0" w:hanging="0"/>
              <w:jc w:val="center"/>
              <w:rPr>
                <w:lang w:eastAsia="zh-CN"/>
              </w:rPr>
            </w:pPr>
            <w:r>
              <w:rPr>
                <w:rFonts w:eastAsia="Calibri" w:eastAsiaTheme="minorHAnsi"/>
                <w:lang w:eastAsia="zh-CN"/>
              </w:rPr>
              <w:t>0,037</w:t>
            </w:r>
          </w:p>
        </w:tc>
      </w:tr>
    </w:tbl>
    <w:p>
      <w:pPr>
        <w:pStyle w:val="Normal"/>
        <w:keepNext w:val="true"/>
        <w:spacing w:lineRule="auto" w:line="240"/>
        <w:ind w:left="0" w:right="158" w:hanging="0"/>
        <w:rPr/>
      </w:pPr>
      <w:r>
        <w:rPr/>
      </w:r>
    </w:p>
    <w:p>
      <w:pPr>
        <w:pStyle w:val="Normal"/>
        <w:spacing w:lineRule="auto" w:line="240"/>
        <w:ind w:left="-284" w:right="158" w:hanging="0"/>
        <w:jc w:val="left"/>
        <w:rPr>
          <w:szCs w:val="24"/>
        </w:rPr>
      </w:pPr>
      <w:r>
        <w:rPr>
          <w:szCs w:val="24"/>
        </w:rPr>
        <w:t>Na podstawie w/w wskaźników można wyliczyć efekt ekologiczny. W okresie 25 lat pracy instalacji przełoży się to na:</w:t>
      </w:r>
    </w:p>
    <w:p>
      <w:pPr>
        <w:pStyle w:val="Normal"/>
        <w:spacing w:lineRule="auto" w:line="240"/>
        <w:ind w:left="-284" w:right="158" w:hanging="0"/>
        <w:jc w:val="left"/>
        <w:rPr>
          <w:szCs w:val="24"/>
        </w:rPr>
      </w:pPr>
      <w:r>
        <w:rPr>
          <w:szCs w:val="24"/>
        </w:rPr>
      </w:r>
    </w:p>
    <w:p>
      <w:pPr>
        <w:pStyle w:val="Normal"/>
        <w:spacing w:lineRule="auto" w:line="240"/>
        <w:ind w:left="-284" w:right="158" w:hanging="0"/>
        <w:jc w:val="left"/>
        <w:rPr>
          <w:szCs w:val="24"/>
        </w:rPr>
      </w:pPr>
      <w:r>
        <w:rPr>
          <w:szCs w:val="24"/>
        </w:rPr>
        <w:t>- zmniejszenie emisji CO</w:t>
      </w:r>
      <w:r>
        <w:rPr>
          <w:szCs w:val="24"/>
          <w:vertAlign w:val="subscript"/>
        </w:rPr>
        <w:t>2</w:t>
      </w:r>
      <w:r>
        <w:rPr>
          <w:szCs w:val="24"/>
        </w:rPr>
        <w:t>  o  19 800 Mg (792 Mg/rok)</w:t>
      </w:r>
    </w:p>
    <w:p>
      <w:pPr>
        <w:pStyle w:val="Normal"/>
        <w:spacing w:lineRule="auto" w:line="240"/>
        <w:ind w:left="-284" w:right="158" w:hanging="0"/>
        <w:jc w:val="left"/>
        <w:rPr>
          <w:szCs w:val="24"/>
        </w:rPr>
      </w:pPr>
      <w:r>
        <w:rPr>
          <w:szCs w:val="24"/>
        </w:rPr>
        <w:t xml:space="preserve">- zmniejszenie emisji </w:t>
      </w:r>
      <w:r>
        <w:rPr/>
        <w:t>tlenków siarki (SO</w:t>
      </w:r>
      <w:r>
        <w:rPr>
          <w:vertAlign w:val="subscript"/>
        </w:rPr>
        <w:t>X</w:t>
      </w:r>
      <w:r>
        <w:rPr/>
        <w:t>/SO</w:t>
      </w:r>
      <w:r>
        <w:rPr>
          <w:vertAlign w:val="subscript"/>
        </w:rPr>
        <w:t>2</w:t>
      </w:r>
      <w:r>
        <w:rPr/>
        <w:t xml:space="preserve">) o  17,6 Mg (0,704‬ </w:t>
      </w:r>
      <w:r>
        <w:rPr>
          <w:szCs w:val="24"/>
        </w:rPr>
        <w:t>Mg/rok)</w:t>
      </w:r>
    </w:p>
    <w:p>
      <w:pPr>
        <w:pStyle w:val="Normal"/>
        <w:spacing w:lineRule="auto" w:line="240"/>
        <w:ind w:left="-284" w:right="158" w:hanging="0"/>
        <w:jc w:val="left"/>
        <w:rPr>
          <w:szCs w:val="24"/>
        </w:rPr>
      </w:pPr>
      <w:r>
        <w:rPr>
          <w:szCs w:val="24"/>
        </w:rPr>
        <w:t xml:space="preserve">- zmniejszenie emisji </w:t>
      </w:r>
      <w:r>
        <w:rPr/>
        <w:t>tlenków azotu (NO</w:t>
      </w:r>
      <w:r>
        <w:rPr>
          <w:vertAlign w:val="subscript"/>
        </w:rPr>
        <w:t>X</w:t>
      </w:r>
      <w:r>
        <w:rPr/>
        <w:t>/NO</w:t>
      </w:r>
      <w:r>
        <w:rPr>
          <w:vertAlign w:val="subscript"/>
        </w:rPr>
        <w:t>2</w:t>
      </w:r>
      <w:r>
        <w:rPr/>
        <w:t xml:space="preserve">) o 16,325 </w:t>
      </w:r>
      <w:r>
        <w:rPr>
          <w:szCs w:val="24"/>
        </w:rPr>
        <w:t>Mg</w:t>
      </w:r>
      <w:r>
        <w:rPr/>
        <w:t xml:space="preserve"> (0,653 </w:t>
      </w:r>
      <w:r>
        <w:rPr>
          <w:szCs w:val="24"/>
        </w:rPr>
        <w:t>Mg/rok)</w:t>
      </w:r>
    </w:p>
    <w:p>
      <w:pPr>
        <w:pStyle w:val="Normal"/>
        <w:spacing w:lineRule="auto" w:line="240"/>
        <w:ind w:left="-284" w:right="158" w:hanging="0"/>
        <w:jc w:val="left"/>
        <w:rPr>
          <w:szCs w:val="24"/>
        </w:rPr>
      </w:pPr>
      <w:r>
        <w:rPr>
          <w:szCs w:val="24"/>
        </w:rPr>
        <w:t>- zmniejszenie emisji</w:t>
      </w:r>
      <w:r>
        <w:rPr/>
        <w:t xml:space="preserve"> tlenku węgla (CO) o 7,125‬ </w:t>
      </w:r>
      <w:r>
        <w:rPr>
          <w:szCs w:val="24"/>
        </w:rPr>
        <w:t>Mg</w:t>
      </w:r>
      <w:r>
        <w:rPr/>
        <w:t xml:space="preserve"> (0,285 </w:t>
      </w:r>
      <w:r>
        <w:rPr>
          <w:szCs w:val="24"/>
        </w:rPr>
        <w:t>Mg/rok)</w:t>
      </w:r>
    </w:p>
    <w:p>
      <w:pPr>
        <w:pStyle w:val="Normal"/>
        <w:spacing w:lineRule="auto" w:line="240"/>
        <w:ind w:left="-284" w:right="158" w:hanging="0"/>
        <w:rPr>
          <w:szCs w:val="24"/>
        </w:rPr>
      </w:pPr>
      <w:r>
        <w:rPr>
          <w:rFonts w:asciiTheme="minorHAnsi" w:hAnsiTheme="minorHAnsi"/>
          <w:color w:val="000000" w:themeColor="text1"/>
          <w:sz w:val="28"/>
        </w:rPr>
        <w:t xml:space="preserve">- </w:t>
      </w:r>
      <w:r>
        <w:rPr>
          <w:szCs w:val="24"/>
        </w:rPr>
        <w:t>zmniejszenie emisji pył całkowity o 0,925 Mg (0,037 Mg/rok)</w:t>
      </w:r>
    </w:p>
    <w:p>
      <w:pPr>
        <w:pStyle w:val="Normal"/>
        <w:spacing w:lineRule="auto" w:line="240"/>
        <w:ind w:left="-284" w:right="158" w:hanging="0"/>
        <w:rPr>
          <w:szCs w:val="24"/>
        </w:rPr>
      </w:pPr>
      <w:r>
        <w:rPr>
          <w:szCs w:val="24"/>
        </w:rPr>
      </w:r>
    </w:p>
    <w:p>
      <w:pPr>
        <w:pStyle w:val="Normal"/>
        <w:spacing w:lineRule="auto" w:line="240" w:before="0" w:after="143"/>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Wykorzystanie odpadu</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W fazie eksploatacji farmy fotowoltaicznej nie przewiduje się powstawania odpadów. </w:t>
      </w:r>
    </w:p>
    <w:p>
      <w:pPr>
        <w:pStyle w:val="Normal"/>
        <w:spacing w:lineRule="auto" w:line="240" w:before="0" w:after="143"/>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Ochrona powierzchni ziemi</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Farma fotowoltaiczna w fazie eksploatacji nie będzie wpływać również na zanieczyszczenie wód powierzchniowych, podziemnych oraz gleby, oraz nie stwarza zagrożenia dla środowiska gruntowo-wodnego. Inwestor planuje użycie transformatorów suchych w izolacji żywicznej lub mokrych w izolacji olejowej. </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Transformatory suche nie zawierają cieczy, co eliminuje wycieki mogące powodować pożar lub niebezpieczeństwo wybuchu. W związku z powyższym nie ma potrzeby stosowania rozwiązań mających na celu ochronę środowiska gruntowo-wodnego przez zanieczyszczeniami oleju transformatorowego, w przypadku awarii.</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Transformatory olejowe mogą stwarzać zagrożenie zanieczyszczenia środowiska przy awariach, jednak w przypadku instalacji transformatora tego typu inwestor zobowiązuje się do zastosowania rozwiązań chroniących środowisko gruntowo-wodne przed wyciekami oleju poprzez wyposażenie transformatora w szczelną misę olejową przystosowaną do pomieszczenia całej objętości oleju używanego w urządzeniu.</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Każda z przedstawionych sytuacji eliminuje potencjalne zagrożenie dla środowiska gruntowo-wodnego jakie może stworzyć przedmiotowa inwestycja.</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143"/>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Ochrona przed hałasem</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Instalacja w trakcie eksploatacji nie będzie wytwarzała żadnych dźwięków. Projektowane do zastosowania panele ogniw fotowoltaicznych nie będą wyposażane w wentylatory służące do chłodzenia konstrukcji ogniw. Inwestor zakłada sprawność urządzenia na poziomie fabrycznym, bez zwiększania sprawności poprzez zastosowanie technologii z wymuszonym obiegiem powietrza. Chłodzenie paneli fotowoltaicznych odbywać się będzie w sposób naturalny, przez obieg powietrza atmosferycznego.</w:t>
      </w:r>
    </w:p>
    <w:p>
      <w:pPr>
        <w:pStyle w:val="Normal"/>
        <w:spacing w:lineRule="auto" w:line="240" w:before="0" w:after="143"/>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Minimalizacja zużycia wody i wytwarzania ścieków</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Instalacja fotowoltaiczna nie wymaga zużycia wody i nie generuje ścieków. Wody deszczowe będą obmywać powierzchnię instalacji, po czym w sposób naturalny będą infiltrowane do gruntu. </w:t>
      </w:r>
    </w:p>
    <w:p>
      <w:pPr>
        <w:pStyle w:val="Normal"/>
        <w:spacing w:lineRule="auto" w:line="240" w:before="0" w:after="143"/>
        <w:ind w:left="-284" w:hanging="0"/>
        <w:rPr>
          <w:rFonts w:ascii="Calibri" w:hAnsi="Calibri" w:cs="Calibri" w:asciiTheme="minorHAnsi" w:cstheme="minorHAnsi" w:hAnsiTheme="minorHAnsi"/>
          <w:color w:val="000000" w:themeColor="text1"/>
          <w:u w:val="single"/>
        </w:rPr>
      </w:pPr>
      <w:r>
        <w:rPr>
          <w:rFonts w:cs="Calibri" w:cstheme="minorHAnsi"/>
          <w:color w:val="000000" w:themeColor="text1"/>
          <w:u w:val="single"/>
        </w:rPr>
        <w:t>Ochrona fauny</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Powierzchnia, na której ma być posadowiona inwestycja jest obszarem suchym, nie podlegającym okresowemu zalewaniu, stąd jej atrakcyjność dla awifauny nie wyróżnia jej niczym spośród obszarów rolnych charakterystycznych dla większej części naszego kraju.  Ponadto powierzchnia pod panelami pokryta jest trawą, a w związku z tym dostępna przez cały rok dla gatunków ptaków przebywających na ziemi. Jak wcześniej zostało już wskazane Inwestor planuje ogrodzić teren inwestycji, w taki sposób, aby ogrodzenie nie stanowiło bariery dla zwierząt. </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Mimo iż na pobliskim terenie nie występują żadne gniazda ptaków oraz zwierzęta znajdujące się pod ochroną, to może się zdarzyć że jakiś ptak  przeleci nad instalacją kub jakaś zwierzyna znajdzie się na terenie inwestycji. Ze względu na brak hałasu wywołanego pracującą instalacją PV ptaki oraz zwierzęta nie będą ani wabione ani odstraszane od miejsca inwestycji. Ze względu na bardzo niskie natężenie pola magnetycznego wytwarzanego przez instalacje ptaki wędrowne nie będą traciły orientacji przestrzennej. Ze względu na dużą wysokość konstrukcji wsporczych (minimum 30 cm) zwierzyna będzie mogła swobodnie się przemieszczać. Ze względu na wkopanie kabli w ziemię nie wystąpi możliwość przegryzienia tych kabli, a instalacja ochronna (nadprądowa, przeciw porażeniowa, odgromowa) skutecznie uchroni organizmy żywe przed porażeniem elektrycznym.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cs="Calibri" w:cstheme="minorHAnsi"/>
          <w:color w:val="000000" w:themeColor="text1"/>
        </w:rPr>
        <w:t>Dodatkowo panele fotowoltaiczne zostaną zabezpieczone powłoką antyrefleksyjną. Ma to na celu złagodzenie bądź całkowite wyeliminowanie powstawania zagrożeń związanych z imitacją powierzchni lustra wody, a także powstawaniem tak zwanego efektu olśnienia. Efekt olśnienia to chwilowe oślepienie, które może być spowodowane odbiciem światła np. od karoserii samochodu lub powierzchni wody. Powłoka antyrefleksyjna pokrywająca panele zwiększa absorbcję energii promieniowania słonecznego oraz zapobiega niepożądanemu efektowi odbicia światła od powierzchni paneli. W związku z powyższym panele fotowoltaiczne nie będą oślepiać ptaków, mogących przelatywać nad instalacją. Ponadto ptaki, jak i również inne małe zwierzęta wykorzystują często cień rzucany przez zamontowane, stojące na ziemi panele. Tym samym można stwierdzić, iż elektrownie słoneczne nie stanowią zagrożenia dla zwierząt i ptaków.</w:t>
      </w:r>
    </w:p>
    <w:p>
      <w:pPr>
        <w:pStyle w:val="Normal"/>
        <w:spacing w:lineRule="auto" w:line="240" w:before="0" w:after="143"/>
        <w:ind w:left="-284" w:firstLine="568"/>
        <w:rPr>
          <w:rFonts w:ascii="Calibri" w:hAnsi="Calibri" w:cs="Calibri" w:asciiTheme="minorHAnsi" w:cstheme="minorHAnsi" w:hAnsiTheme="minorHAnsi"/>
          <w:color w:val="000000" w:themeColor="text1"/>
        </w:rPr>
      </w:pPr>
      <w:r>
        <w:rPr>
          <w:rFonts w:asciiTheme="minorHAnsi" w:hAnsiTheme="minorHAnsi"/>
          <w:color w:val="auto"/>
        </w:rPr>
        <w:t xml:space="preserve"> </w:t>
      </w:r>
      <w:r>
        <w:rPr>
          <w:rFonts w:asciiTheme="minorHAnsi" w:hAnsiTheme="minorHAnsi"/>
          <w:color w:val="auto"/>
        </w:rPr>
        <w:t>Inwestor planuje ogrodzić teren inwestycji, w taki sposób, aby ogrodzenie nie stanowiło bariery dla zwierząt. Planowane jest użycie siatki o wysokości do 3 m i oczkach o wymiarach minimum 50 x 50 mm, co jest wystarczające dla zapewnienia swobodnej migracji drobnych ssaków, płazów i gadów. Słupki stanowiące element ogrodzenia będą kafarowane (wbijane), nie będzie wykonywana podmurówka jak również fundamenty. Ponadto planuje się pozostawić wolną przestrzeń pomiędzy siatką a ziemią wynoszącą 20 cm.</w:t>
      </w:r>
      <w:bookmarkStart w:id="26" w:name="_Hlk55551618"/>
      <w:bookmarkEnd w:id="26"/>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r>
    </w:p>
    <w:p>
      <w:pPr>
        <w:pStyle w:val="ListParagraph"/>
        <w:numPr>
          <w:ilvl w:val="0"/>
          <w:numId w:val="9"/>
        </w:numPr>
        <w:spacing w:lineRule="auto" w:line="240" w:before="0" w:after="15"/>
        <w:ind w:left="567" w:hanging="141"/>
        <w:contextualSpacing/>
        <w:rPr>
          <w:rFonts w:ascii="Calibri" w:hAnsi="Calibri" w:cs="Calibri" w:asciiTheme="minorHAnsi" w:cstheme="minorHAnsi" w:hAnsiTheme="minorHAnsi"/>
          <w:b/>
          <w:b/>
          <w:color w:val="000000" w:themeColor="text1"/>
        </w:rPr>
      </w:pPr>
      <w:r>
        <w:rPr>
          <w:rFonts w:cs="Calibri" w:cstheme="minorHAnsi"/>
          <w:b/>
          <w:color w:val="000000" w:themeColor="text1"/>
        </w:rPr>
        <w:t xml:space="preserve">Faza likwidacji  </w:t>
      </w:r>
    </w:p>
    <w:p>
      <w:pPr>
        <w:pStyle w:val="ListParagraph"/>
        <w:spacing w:lineRule="auto" w:line="240" w:before="0" w:after="15"/>
        <w:ind w:left="567" w:hanging="0"/>
        <w:contextualSpacing/>
        <w:rPr>
          <w:rFonts w:ascii="Calibri" w:hAnsi="Calibri" w:cs="Calibri" w:asciiTheme="minorHAnsi" w:cstheme="minorHAnsi" w:hAnsiTheme="minorHAnsi"/>
          <w:b/>
          <w:b/>
          <w:color w:val="000000" w:themeColor="text1"/>
        </w:rPr>
      </w:pPr>
      <w:r>
        <w:rPr>
          <w:rFonts w:cs="Calibri" w:cstheme="minorHAnsi"/>
          <w:b/>
          <w:color w:val="000000" w:themeColor="text1"/>
        </w:rPr>
      </w:r>
    </w:p>
    <w:p>
      <w:pPr>
        <w:pStyle w:val="Normal"/>
        <w:spacing w:lineRule="auto" w:line="240" w:before="0" w:after="552"/>
        <w:ind w:left="0" w:firstLine="298"/>
        <w:rPr>
          <w:rFonts w:ascii="Calibri" w:hAnsi="Calibri" w:cs="Calibri" w:asciiTheme="minorHAnsi" w:cstheme="minorHAnsi" w:hAnsiTheme="minorHAnsi"/>
          <w:color w:val="000000" w:themeColor="text1"/>
        </w:rPr>
      </w:pPr>
      <w:r>
        <w:rPr>
          <w:rFonts w:cs="Calibri" w:cstheme="minorHAnsi"/>
          <w:color w:val="000000" w:themeColor="text1"/>
        </w:rPr>
        <w:t>Faza likwidacji będzie polegała na demontażu poszczególnych elementów farmy fotowoltaicznej. Oddziaływania jakie będą występowały w fazie likwidacji będą podobne to tych z fazy realizacji inwestycji. Na terenie po inwestycji zostanie przywrócony pierwotny stan środowiska przyrodniczego.</w:t>
      </w:r>
    </w:p>
    <w:p>
      <w:pPr>
        <w:pStyle w:val="Nagwek1"/>
        <w:ind w:left="308" w:right="0" w:hanging="10"/>
        <w:rPr/>
      </w:pPr>
      <w:bookmarkStart w:id="27" w:name="_Toc121388980"/>
      <w:r>
        <w:rPr/>
        <w:t>8.</w:t>
      </w:r>
      <w:r>
        <w:rPr>
          <w:rFonts w:eastAsia="Arial"/>
        </w:rPr>
        <w:t xml:space="preserve"> </w:t>
      </w:r>
      <w:r>
        <w:rPr/>
        <w:t>Rodzaje i przewidywane ilości wprowadzanych do środowiska substancji lub energii przy zastosowaniu rozwiązań chroniących środowisko</w:t>
      </w:r>
      <w:bookmarkEnd w:id="27"/>
      <w:r>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ListParagraph"/>
        <w:numPr>
          <w:ilvl w:val="0"/>
          <w:numId w:val="9"/>
        </w:numPr>
        <w:spacing w:lineRule="auto" w:line="240" w:before="0" w:after="0"/>
        <w:ind w:left="709" w:hanging="283"/>
        <w:contextualSpacing/>
        <w:jc w:val="left"/>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t xml:space="preserve">Odprowadzenie ścieków socjalno-bytowych  </w:t>
      </w:r>
    </w:p>
    <w:p>
      <w:pPr>
        <w:pStyle w:val="ListParagraph"/>
        <w:spacing w:lineRule="auto" w:line="240" w:before="0" w:after="0"/>
        <w:ind w:left="709" w:hanging="0"/>
        <w:contextualSpacing/>
        <w:jc w:val="left"/>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Niewielka produkcja ścieków socjalno-bytowych wystąpi w fazie budowy/likwidacji instalacji fotowoltaicznej. Zaplecze budowy będą stanowiły 2 kontenery, jeden gospodarczy dla pracowników, drugi służący jako magazyn dla sprzętu, oraz przenośna kabina toaletowa. Zaplecze budowy zostanie zorganizowane w sposób zapewniający oszczędne korzystanie z terenu i minimalne przekształcenie jego powierzchni, a po zakończeniu prac teren zostanie przywrócony do poprzedniego stanu. Ścieki socjalno-bytowe z przenośnej kabiny toaletowej będą odprowadzane do szczelnych zbiorników bezodpływowych, których zawartość będzie usuwana przez uprawnione podmioty.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ListParagraph"/>
        <w:numPr>
          <w:ilvl w:val="0"/>
          <w:numId w:val="9"/>
        </w:numPr>
        <w:spacing w:lineRule="auto" w:line="240" w:before="0" w:after="0"/>
        <w:ind w:left="567" w:hanging="141"/>
        <w:contextualSpacing/>
        <w:jc w:val="left"/>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t xml:space="preserve">Ilość i sposób odprowadzania ścieków technologicznych  </w:t>
      </w:r>
    </w:p>
    <w:p>
      <w:pPr>
        <w:pStyle w:val="ListParagraph"/>
        <w:spacing w:lineRule="auto" w:line="240" w:before="0" w:after="0"/>
        <w:ind w:left="567" w:hanging="0"/>
        <w:contextualSpacing/>
        <w:jc w:val="left"/>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W wyniku funkcjonowania przedmiotowej elektrowni słonecznej na żadnym z etapów funkcjonowania inwestycji (realizacja, eksploatacja, likwidacja) nie będą powstawały ścieki technologiczne.  </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Panele fotowoltaiczne, które zostaną wykorzystane do budowy instalacji fotowoltaicznej, będą pokryte warstwą samoczyszczącą, z której zanieczyszczenia będą usuwane przez opady atmosferyczne i wiatr. Nie planuje się mycia paneli fotowoltaicznych. Wody deszczowe w sposób wystarczający będą obmywać powierzchnię instalacji.</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ListParagraph"/>
        <w:numPr>
          <w:ilvl w:val="0"/>
          <w:numId w:val="9"/>
        </w:numPr>
        <w:spacing w:lineRule="auto" w:line="240" w:before="0" w:after="0"/>
        <w:ind w:left="709" w:hanging="283"/>
        <w:contextualSpacing/>
        <w:jc w:val="left"/>
        <w:rPr>
          <w:rFonts w:ascii="Calibri" w:hAnsi="Calibri" w:cs="Calibri" w:asciiTheme="minorHAnsi" w:cstheme="minorHAnsi" w:hAnsiTheme="minorHAnsi"/>
          <w:color w:val="000000" w:themeColor="text1"/>
          <w:szCs w:val="24"/>
        </w:rPr>
      </w:pPr>
      <w:r>
        <w:rPr>
          <w:rFonts w:cs="Calibri" w:cstheme="minorHAnsi"/>
          <w:b/>
          <w:color w:val="000000" w:themeColor="text1"/>
          <w:szCs w:val="24"/>
        </w:rPr>
        <w:t>Odprowadzanie wód opadowych i roztopowych</w:t>
      </w:r>
    </w:p>
    <w:p>
      <w:pPr>
        <w:pStyle w:val="ListParagraph"/>
        <w:spacing w:lineRule="auto" w:line="240" w:before="0" w:after="0"/>
        <w:ind w:left="709" w:hanging="0"/>
        <w:contextualSpacing/>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552"/>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Wody opadowe i roztopowe będą spływać po powierzchni paneli fotowoltaicznych nachylonych pod kątem 0-90°, a następnie będą wsiąkać do gruntu w ich bezpośrednim sąsiedztwie. Wody opadowe i roztopowe nie będą miały kontaktu z substancjami niebezpiecznymi, ponieważ do budowy instalacji zostaną użyte materiały nie wchodzące w reakcje z wodą opadową. W związku, z tym brak jest konieczności stosowania dodatkowych zabezpieczeń na etapie eksploatacji inwestycji.</w:t>
      </w:r>
    </w:p>
    <w:p>
      <w:pPr>
        <w:pStyle w:val="Normal"/>
        <w:spacing w:lineRule="auto" w:line="240" w:before="0" w:after="552"/>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ListParagraph"/>
        <w:numPr>
          <w:ilvl w:val="0"/>
          <w:numId w:val="9"/>
        </w:numPr>
        <w:spacing w:lineRule="auto" w:line="240" w:before="0" w:after="0"/>
        <w:ind w:left="709" w:hanging="283"/>
        <w:contextualSpacing/>
        <w:jc w:val="left"/>
        <w:rPr>
          <w:rFonts w:ascii="Calibri" w:hAnsi="Calibri" w:cs="Calibri" w:asciiTheme="minorHAnsi" w:cstheme="minorHAnsi" w:hAnsiTheme="minorHAnsi"/>
          <w:color w:val="000000" w:themeColor="text1"/>
          <w:szCs w:val="24"/>
        </w:rPr>
      </w:pPr>
      <w:r>
        <w:rPr>
          <w:rFonts w:cs="Calibri" w:cstheme="minorHAnsi"/>
          <w:b/>
          <w:color w:val="000000" w:themeColor="text1"/>
          <w:szCs w:val="24"/>
        </w:rPr>
        <w:t>Emisja hałasu</w:t>
      </w:r>
    </w:p>
    <w:p>
      <w:pPr>
        <w:pStyle w:val="Normal"/>
        <w:spacing w:lineRule="auto" w:line="240" w:before="0" w:after="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W fazie eksploatacji niewielka emisja hałasu wystąpi w związku z pracą urządzeń elektrycznych umieszczonych w stacji kontenerowej. Wartość ciśnienia akustycznego mierzonego w odległości 1 m dla transformatora 1000 kVA wynosi 55 dB (zgodnie z danymi producenta). Zgodnie z Rozporządzeniem Ministra Środowiska z dnia 1 października 2012 r. zmieniającego rozporządzenie w sprawie dopuszczalnych poziomów hałasu w środowisku (Dz. U. 2014 poz. 112). </w:t>
      </w:r>
      <w:bookmarkStart w:id="28" w:name="_Hlk34315340"/>
      <w:bookmarkEnd w:id="28"/>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Zabudowa w pobliżu planowanej inwestycji posiada charakter zabudowy mieszkaniowej jednorodzinnej. W zawiązku z powyższym należy ona, zgodnie z klasyfikacją podaną w tabeli, do obszarów, gdzie obowiązują następujące dopuszczalne poziomy hałasu pochodzącego od instalacji przemysłowych: </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ListParagraph"/>
        <w:numPr>
          <w:ilvl w:val="0"/>
          <w:numId w:val="12"/>
        </w:numPr>
        <w:spacing w:lineRule="auto" w:line="240"/>
        <w:rPr>
          <w:rFonts w:ascii="Calibri" w:hAnsi="Calibri" w:cs="Calibri" w:asciiTheme="minorHAnsi" w:cstheme="minorHAnsi" w:hAnsiTheme="minorHAnsi"/>
          <w:color w:val="000000" w:themeColor="text1"/>
        </w:rPr>
      </w:pPr>
      <w:r>
        <w:rPr>
          <w:rFonts w:cs="Calibri" w:cstheme="minorHAnsi"/>
          <w:color w:val="000000" w:themeColor="text1"/>
        </w:rPr>
        <w:t xml:space="preserve">50 dB – dla przedziału czasu odniesienia równym 8 najmniej korzystnym godzinom kolejno po sobie następującym w porze dziennej, przy czym pora dzienna rozumiana jest jako przedział czasu od godz. 06:00 do godz. 22:00, </w:t>
      </w:r>
    </w:p>
    <w:p>
      <w:pPr>
        <w:pStyle w:val="ListParagraph"/>
        <w:numPr>
          <w:ilvl w:val="0"/>
          <w:numId w:val="12"/>
        </w:numPr>
        <w:spacing w:lineRule="auto" w:line="240"/>
        <w:rPr>
          <w:rFonts w:ascii="Calibri" w:hAnsi="Calibri" w:cs="Calibri" w:asciiTheme="minorHAnsi" w:cstheme="minorHAnsi" w:hAnsiTheme="minorHAnsi"/>
          <w:color w:val="000000" w:themeColor="text1"/>
        </w:rPr>
      </w:pPr>
      <w:r>
        <w:rPr>
          <w:rFonts w:cs="Calibri" w:cstheme="minorHAnsi"/>
          <w:color w:val="000000" w:themeColor="text1"/>
        </w:rPr>
        <w:t xml:space="preserve">40 dB – dla jednej najmniej korzystnej godziny w porze nocnej, przy czym pora nocna rozumiana jest jako przedział czasu od godz. 22:00 do godz. 06:00 </w:t>
      </w:r>
    </w:p>
    <w:p>
      <w:pPr>
        <w:pStyle w:val="ListParagraph"/>
        <w:spacing w:lineRule="auto" w:line="240"/>
        <w:ind w:left="436"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szCs w:val="24"/>
        </w:rPr>
        <w:t>Instalacja będzie zlokalizowana poza obszarami zabudowy mieszkaniowej i zagrodowej,</w:t>
        <w:br/>
        <w:t xml:space="preserve">w odległości ponad 100 m, co pozwoli na zmniejszenie wpływu hałasu na komfort życia mieszkańców pobliskiej miejscowości. Jest to najważniejszy czynnik skutecznych zabezpieczeń przed hałasem podczas budowy obiektów infrastruktury. </w:t>
      </w:r>
      <w:r>
        <w:rPr>
          <w:rFonts w:cs="Calibri" w:cstheme="minorHAnsi"/>
          <w:color w:val="000000" w:themeColor="text1"/>
          <w:sz w:val="28"/>
          <w:szCs w:val="24"/>
        </w:rPr>
        <w:t xml:space="preserve">   </w:t>
      </w:r>
      <w:r>
        <w:rPr>
          <w:rFonts w:cs="Calibri" w:cstheme="minorHAnsi"/>
          <w:color w:val="000000" w:themeColor="text1"/>
        </w:rPr>
        <w:t xml:space="preserve">W związku z powyższym planowane przedsięwzięcie nie spowoduje przekroczenia wartości dopuszczalnych poziomu hałasu na terenach zabudowy mieszkaniowej. </w:t>
      </w:r>
    </w:p>
    <w:p>
      <w:pPr>
        <w:pStyle w:val="Normal"/>
        <w:spacing w:lineRule="auto" w:line="240"/>
        <w:ind w:left="0"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ListParagraph"/>
        <w:numPr>
          <w:ilvl w:val="0"/>
          <w:numId w:val="17"/>
        </w:numPr>
        <w:rPr>
          <w:b/>
          <w:b/>
          <w:bCs/>
        </w:rPr>
      </w:pPr>
      <w:r>
        <w:rPr>
          <w:b/>
          <w:bCs/>
        </w:rPr>
        <w:t xml:space="preserve">Promieniowanie elektromagnetyczne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Na etapie budowy oraz podczas eksploatacji nie przewiduje się promieniowania elektromagnetycznego powodującego negatywny wpływ na środowisko przyrodnicze i zdrowie. Stosowane w trakcie eksploatacji elektrowni fotowoltaicznej napięcia to: </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numPr>
          <w:ilvl w:val="0"/>
          <w:numId w:val="13"/>
        </w:numPr>
        <w:spacing w:lineRule="auto" w:line="240"/>
        <w:rPr>
          <w:rFonts w:ascii="Calibri" w:hAnsi="Calibri" w:cs="Calibri" w:asciiTheme="minorHAnsi" w:cstheme="minorHAnsi" w:hAnsiTheme="minorHAnsi"/>
          <w:color w:val="000000" w:themeColor="text1"/>
        </w:rPr>
      </w:pPr>
      <w:r>
        <w:rPr>
          <w:rFonts w:cs="Calibri" w:cstheme="minorHAnsi"/>
          <w:color w:val="000000" w:themeColor="text1"/>
        </w:rPr>
        <w:t xml:space="preserve">do 1000 V (zgodnie z PN-EN 61215) napięcie stałe (direct current), którego wartość zależy od liczby podłączonych szeregowo paneli i jest zależna od temperatury otoczenia i promieniowania słonecznego. </w:t>
      </w:r>
    </w:p>
    <w:p>
      <w:pPr>
        <w:pStyle w:val="Normal"/>
        <w:numPr>
          <w:ilvl w:val="0"/>
          <w:numId w:val="13"/>
        </w:numPr>
        <w:spacing w:lineRule="auto" w:line="240"/>
        <w:rPr>
          <w:rFonts w:ascii="Calibri" w:hAnsi="Calibri" w:cs="Calibri" w:asciiTheme="minorHAnsi" w:cstheme="minorHAnsi" w:hAnsiTheme="minorHAnsi"/>
          <w:color w:val="000000" w:themeColor="text1"/>
        </w:rPr>
      </w:pPr>
      <w:r>
        <w:rPr>
          <w:rFonts w:cs="Calibri" w:cstheme="minorHAnsi"/>
          <w:color w:val="000000" w:themeColor="text1"/>
        </w:rPr>
        <w:t xml:space="preserve">230 V (napięcia fazowe); do 1000 V (napięcia międzyfazowe) prądu przemiennego 50Hz, na połączeniach inwerter – transformator (strona niskiego napięcia do 1,0kV) – 15kV/20kV prądu przemiennego 50 Hz (zakres średniego napięcia). </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15kV/50Hz to znamionowe napięcie linii średniego napięcia stosowane standardowo przez operatorów systemów dystrybucyjnych. Do takiej linii będzie podłączona strona SN transformatora elektrowni fotowoltaicznej. Elektrownia fotowoltaiczna nie wykorzystuje urządzeń – źródeł emisji fal radiowych i systemów radiolokacyjnych. Stosowane napięcia są znacznie poniżej 110kV, a zgodnie</w:t>
        <w:br/>
        <w:t>z Załącznikiem nr 2 pkt 33  ww. Rozporządzenia Ministra Środowiska, sprawdzenia-pomiary poziomów pół elektromagnetycznych wykonuje się w otoczeniu stacji i linii elektroenergetycznych, jeżeli ich napięcie znamionowe jest równe lub wyższe niż 110kV. W związku z powyższym nie ma obowiązku sprawdzania dotrzymania poziomów dopuszczalnych wartości pól elektromagnetycznych, zgodnie</w:t>
        <w:br/>
        <w:t>z Rozporządzeniem Ministra Klimatu (Dz.U. 2020, poz. 258) oraz z Rozporządzeniem Ministra Zdrowia (Dz. U. 2019, poz. 2448).</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Stałe pole elektryczne występuje tylko w przewodniku, w którym płynie prąd i jest naturalnie niezbędne do wymuszenia ruchu elektronów i przepływu prądu. W zasadzie bezzasadne jest podnoszenie argumentu pola elektrycznego w przypadku prądu stałego. </w:t>
      </w:r>
    </w:p>
    <w:p>
      <w:pPr>
        <w:pStyle w:val="Normal"/>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u w:val="single" w:color="1E000F"/>
        </w:rPr>
        <w:t>Stałe pole magnetyczne instalacji fotowoltaicznej</w:t>
      </w:r>
      <w:r>
        <w:rPr>
          <w:rFonts w:cs="Calibri" w:cstheme="minorHAnsi"/>
          <w:color w:val="000000" w:themeColor="text1"/>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W wyniku przepływu prądu w przewodniku, tworzy się wokół niego pole magnetyczne.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Wartość natężenia pola magnetycznego oraz indukcji magnetycznej łączy wzór:  </w:t>
      </w:r>
    </w:p>
    <w:p>
      <w:pPr>
        <w:pStyle w:val="Normal"/>
        <w:spacing w:lineRule="auto" w:line="240" w:before="0" w:after="15"/>
        <w:ind w:left="-284" w:hanging="0"/>
        <w:jc w:val="center"/>
        <w:rPr>
          <w:rFonts w:ascii="Calibri" w:hAnsi="Calibri" w:cs="Calibri" w:asciiTheme="minorHAnsi" w:cstheme="minorHAnsi" w:hAnsiTheme="minorHAnsi"/>
          <w:color w:val="000000" w:themeColor="text1"/>
        </w:rPr>
      </w:pPr>
      <w:r>
        <w:rPr>
          <w:rFonts w:eastAsia="Cambria Math" w:cs="Cambria Math" w:ascii="Cambria Math" w:hAnsi="Cambria Math"/>
          <w:color w:val="000000" w:themeColor="text1"/>
        </w:rPr>
        <w:t>𝐵</w:t>
      </w:r>
      <w:r>
        <w:rPr>
          <w:rFonts w:eastAsia="Cambria Math" w:cs="Calibri" w:cstheme="minorHAnsi"/>
          <w:color w:val="000000" w:themeColor="text1"/>
        </w:rPr>
        <w:t xml:space="preserve"> </w:t>
      </w:r>
      <w:r>
        <w:rPr>
          <w:rFonts w:eastAsia="Cambria Math" w:cs="Calibri" w:cstheme="minorHAnsi"/>
          <w:color w:val="000000" w:themeColor="text1"/>
        </w:rPr>
        <w:t xml:space="preserve">= </w:t>
      </w:r>
      <w:r>
        <w:rPr>
          <w:rFonts w:eastAsia="Cambria Math" w:cs="Cambria Math" w:ascii="Cambria Math" w:hAnsi="Cambria Math"/>
          <w:color w:val="000000" w:themeColor="text1"/>
        </w:rPr>
        <w:t>𝜇</w:t>
      </w:r>
      <w:r>
        <w:rPr>
          <w:rFonts w:eastAsia="Cambria Math" w:cs="Calibri" w:cstheme="minorHAnsi"/>
          <w:color w:val="000000" w:themeColor="text1"/>
        </w:rPr>
        <w:t xml:space="preserve"> </w:t>
      </w:r>
      <w:r>
        <w:rPr>
          <w:rFonts w:eastAsia="Cambria Math" w:cs="Cambria Math" w:ascii="Cambria Math" w:hAnsi="Cambria Math"/>
          <w:color w:val="000000" w:themeColor="text1"/>
        </w:rPr>
        <w:t>∗</w:t>
      </w:r>
      <w:r>
        <w:rPr>
          <w:rFonts w:eastAsia="Cambria Math" w:cs="Calibri" w:cstheme="minorHAnsi"/>
          <w:color w:val="000000" w:themeColor="text1"/>
        </w:rPr>
        <w:t xml:space="preserve"> </w:t>
      </w:r>
      <w:r>
        <w:rPr>
          <w:rFonts w:eastAsia="Cambria Math" w:cs="Cambria Math" w:ascii="Cambria Math" w:hAnsi="Cambria Math"/>
          <w:color w:val="000000" w:themeColor="text1"/>
        </w:rPr>
        <w:t>𝐻</w:t>
      </w:r>
    </w:p>
    <w:p>
      <w:pPr>
        <w:pStyle w:val="Normal"/>
        <w:spacing w:lineRule="auto" w:line="240" w:before="0" w:after="15"/>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Gdzie :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B – indukcja pola magnetycznego, </w:t>
      </w:r>
    </w:p>
    <w:p>
      <w:pPr>
        <w:pStyle w:val="Normal"/>
        <w:tabs>
          <w:tab w:val="clear" w:pos="708"/>
          <w:tab w:val="left" w:pos="5372" w:leader="none"/>
        </w:tabs>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μ – przenikalność magnetyczna ośrodka,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H – natężenie pola magnetycznego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Oznacza to, że natężenie pola magnetycznego w powietrzu równe jest wartości indukcji magnetycznej. Poniżej przedstawiono wyliczenie wartości indukcji dla instalacji modułów fotowoltaicznych, której wartość to zaledwie ułamek naturalnego promieniowania magnetycznego Ziemi oraz jeszcze mniejszy ułamek dopuszczalnego poziomu wg Rozporządzenia Ministra Środowiska.  </w:t>
      </w:r>
    </w:p>
    <w:p>
      <w:pPr>
        <w:pStyle w:val="Normal"/>
        <w:spacing w:lineRule="auto" w:line="240" w:before="0" w:after="11"/>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before="0" w:after="11"/>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tabs>
          <w:tab w:val="clear" w:pos="708"/>
          <w:tab w:val="center" w:pos="1871" w:leader="none"/>
        </w:tabs>
        <w:spacing w:lineRule="auto" w:line="240" w:before="0" w:after="57"/>
        <w:ind w:left="-284" w:hanging="0"/>
        <w:jc w:val="left"/>
        <w:rPr>
          <w:rFonts w:ascii="Calibri" w:hAnsi="Calibri" w:cs="Calibri" w:asciiTheme="minorHAnsi" w:cstheme="minorHAnsi" w:hAnsiTheme="minorHAnsi"/>
          <w:color w:val="000000" w:themeColor="text1"/>
          <w:u w:val="single"/>
        </w:rPr>
      </w:pPr>
      <w:r>
        <w:rPr>
          <w:rFonts w:cs="Calibri" w:cstheme="minorHAnsi"/>
          <w:color w:val="000000" w:themeColor="text1"/>
        </w:rPr>
        <w:t xml:space="preserve"> </w:t>
      </w:r>
      <w:r>
        <w:rPr>
          <w:rFonts w:cs="Calibri" w:cstheme="minorHAnsi"/>
          <w:color w:val="000000" w:themeColor="text1"/>
        </w:rPr>
        <w:tab/>
      </w:r>
      <w:r>
        <w:rPr>
          <w:rFonts w:cs="Calibri" w:cstheme="minorHAnsi"/>
          <w:color w:val="000000" w:themeColor="text1"/>
          <w:u w:val="single"/>
        </w:rPr>
        <w:t xml:space="preserve">Stałe Pole Magnetyczne </w:t>
      </w:r>
    </w:p>
    <w:p>
      <w:pPr>
        <w:pStyle w:val="Normal"/>
        <w:numPr>
          <w:ilvl w:val="0"/>
          <w:numId w:val="3"/>
        </w:numPr>
        <w:spacing w:lineRule="auto" w:line="240" w:before="0" w:after="58"/>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Pole Magnetyczne Ziemi wacha się miedzy 30μT - 60μT (24A/M - 48A/M) w zależności od położenia </w:t>
      </w:r>
    </w:p>
    <w:p>
      <w:pPr>
        <w:pStyle w:val="Normal"/>
        <w:numPr>
          <w:ilvl w:val="0"/>
          <w:numId w:val="3"/>
        </w:numPr>
        <w:spacing w:lineRule="auto" w:line="240" w:before="0" w:after="29"/>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System Fotowoltaiczny wytwarza stały prądy i stałe pole magnetyczne </w:t>
      </w:r>
    </w:p>
    <w:p>
      <w:pPr>
        <w:pStyle w:val="Normal"/>
        <w:numPr>
          <w:ilvl w:val="0"/>
          <w:numId w:val="3"/>
        </w:numPr>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Moduły fotowoltaiczne połączone są szeregowo i maksymalny prąd jest równy prądowi wytworzonemu przez pojedynczy moduł </w:t>
      </w:r>
    </w:p>
    <w:p>
      <w:pPr>
        <w:pStyle w:val="Normal"/>
        <w:spacing w:lineRule="auto" w:line="240"/>
        <w:ind w:left="0"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15"/>
        <w:ind w:left="-284" w:firstLine="568"/>
        <w:rPr>
          <w:rFonts w:ascii="Calibri" w:hAnsi="Calibri" w:cs="Calibri" w:asciiTheme="minorHAnsi" w:cstheme="minorHAnsi" w:hAnsiTheme="minorHAnsi"/>
          <w:color w:val="000000" w:themeColor="text1"/>
        </w:rPr>
      </w:pPr>
      <w:r>
        <w:rPr>
          <w:rFonts w:cs="Calibri" w:cstheme="minorHAnsi"/>
          <w:color w:val="000000" w:themeColor="text1"/>
        </w:rPr>
        <w:t>Do obliczenia indukcji pola magnetycznego wykorzystamy Prawo Biota-Savarta</w:t>
      </w:r>
    </w:p>
    <w:p>
      <w:pPr>
        <w:pStyle w:val="Normal"/>
        <w:spacing w:lineRule="auto" w:line="240" w:before="0" w:after="15"/>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jc w:val="center"/>
        <w:rPr>
          <w:rFonts w:ascii="Calibri" w:hAnsi="Calibri" w:cs="Calibri" w:asciiTheme="minorHAnsi" w:cstheme="minorHAnsi" w:hAnsiTheme="minorHAnsi"/>
          <w:color w:val="000000" w:themeColor="text1"/>
        </w:rPr>
      </w:pPr>
      <w:r>
        <w:rPr/>
      </w:r>
      <m:oMath xmlns:m="http://schemas.openxmlformats.org/officeDocument/2006/math">
        <m:r>
          <w:rPr>
            <w:rFonts w:ascii="Cambria Math" w:hAnsi="Cambria Math"/>
          </w:rPr>
          <m:t xml:space="preserve">B</m:t>
        </m:r>
        <m:r>
          <w:rPr>
            <w:rFonts w:ascii="Cambria Math" w:hAnsi="Cambria Math"/>
          </w:rPr>
          <m:t xml:space="preserve">=</m:t>
        </m:r>
        <m:f>
          <m:num>
            <m:f>
              <m:num>
                <m:sSub>
                  <m:e>
                    <m:r>
                      <w:rPr>
                        <w:rFonts w:ascii="Cambria Math" w:hAnsi="Cambria Math"/>
                      </w:rPr>
                      <m:t xml:space="preserve">μ</m:t>
                    </m:r>
                  </m:e>
                  <m:sub>
                    <m:r>
                      <w:rPr>
                        <w:rFonts w:ascii="Cambria Math" w:hAnsi="Cambria Math"/>
                      </w:rPr>
                      <m:t xml:space="preserve">0</m:t>
                    </m:r>
                  </m:sub>
                </m:sSub>
              </m:num>
              <m:den>
                <m:r>
                  <w:rPr>
                    <w:rFonts w:ascii="Cambria Math" w:hAnsi="Cambria Math"/>
                  </w:rPr>
                  <m:t xml:space="preserve">4</m:t>
                </m:r>
                <m:r>
                  <w:rPr>
                    <w:rFonts w:ascii="Cambria Math" w:hAnsi="Cambria Math"/>
                  </w:rPr>
                  <m:t xml:space="preserve">π</m:t>
                </m:r>
              </m:den>
            </m:f>
            <m:r>
              <w:rPr>
                <w:rFonts w:ascii="Cambria Math" w:hAnsi="Cambria Math"/>
              </w:rPr>
              <m:t xml:space="preserve">∗</m:t>
            </m:r>
            <m:r>
              <w:rPr>
                <w:rFonts w:ascii="Cambria Math" w:hAnsi="Cambria Math"/>
              </w:rPr>
              <m:t xml:space="preserve">Idl</m:t>
            </m:r>
            <m:r>
              <w:rPr>
                <w:rFonts w:ascii="Cambria Math" w:hAnsi="Cambria Math"/>
              </w:rPr>
              <m:t xml:space="preserve">sin</m:t>
            </m:r>
            <m:r>
              <w:rPr>
                <w:rFonts w:ascii="Cambria Math" w:hAnsi="Cambria Math"/>
              </w:rPr>
              <m:t xml:space="preserve">θ</m:t>
            </m:r>
          </m:num>
          <m:den>
            <m:sSup>
              <m:e>
                <m:r>
                  <w:rPr>
                    <w:rFonts w:ascii="Cambria Math" w:hAnsi="Cambria Math"/>
                  </w:rPr>
                  <m:t xml:space="preserve">R</m:t>
                </m:r>
              </m:e>
              <m:sup>
                <m:r>
                  <w:rPr>
                    <w:rFonts w:ascii="Cambria Math" w:hAnsi="Cambria Math"/>
                  </w:rPr>
                  <m:t xml:space="preserve">2</m:t>
                </m:r>
              </m:sup>
            </m:sSup>
          </m:den>
        </m:f>
      </m:oMath>
    </w:p>
    <w:p>
      <w:pPr>
        <w:pStyle w:val="Normal"/>
        <w:tabs>
          <w:tab w:val="clear" w:pos="708"/>
          <w:tab w:val="center" w:pos="723" w:leader="none"/>
          <w:tab w:val="center" w:pos="2559" w:leader="none"/>
        </w:tabs>
        <w:spacing w:lineRule="auto" w:line="240" w:before="0" w:after="28"/>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sz w:val="22"/>
        </w:rPr>
        <w:tab/>
      </w:r>
      <w:r>
        <w:rPr>
          <w:rFonts w:cs="Calibri" w:cstheme="minorHAnsi"/>
          <w:color w:val="000000" w:themeColor="text1"/>
        </w:rPr>
        <w:t xml:space="preserve"> </w:t>
      </w:r>
      <w:r>
        <w:rPr>
          <w:rFonts w:eastAsia="Cambria Math" w:cs="Cambria Math" w:ascii="Cambria Math" w:hAnsi="Cambria Math"/>
          <w:color w:val="000000" w:themeColor="text1"/>
        </w:rPr>
        <w:t>𝜇</w:t>
      </w:r>
      <w:r>
        <w:rPr>
          <w:rFonts w:eastAsia="Cambria Math" w:cs="Calibri" w:cstheme="minorHAnsi"/>
          <w:color w:val="000000" w:themeColor="text1"/>
          <w:vertAlign w:val="subscript"/>
        </w:rPr>
        <w:t>0</w:t>
      </w:r>
      <w:r>
        <w:rPr>
          <w:rFonts w:eastAsia="Cambria Math" w:cs="Calibri" w:cstheme="minorHAnsi"/>
          <w:color w:val="000000" w:themeColor="text1"/>
        </w:rPr>
        <w:t xml:space="preserve"> </w:t>
      </w:r>
      <w:r>
        <w:rPr>
          <w:rFonts w:cs="Calibri" w:cstheme="minorHAnsi"/>
          <w:color w:val="000000" w:themeColor="text1"/>
        </w:rPr>
        <w:t xml:space="preserve">– stała magnetyczna </w:t>
      </w:r>
    </w:p>
    <w:p>
      <w:pPr>
        <w:pStyle w:val="Normal"/>
        <w:spacing w:lineRule="auto" w:line="240"/>
        <w:ind w:left="-284" w:hanging="0"/>
        <w:rPr>
          <w:rFonts w:ascii="Calibri" w:hAnsi="Calibri" w:cs="Calibri" w:asciiTheme="minorHAnsi" w:cstheme="minorHAnsi" w:hAnsiTheme="minorHAnsi"/>
          <w:color w:val="000000" w:themeColor="text1"/>
        </w:rPr>
      </w:pPr>
      <w:r>
        <w:rPr>
          <w:rFonts w:eastAsia="Cambria Math" w:cs="Cambria Math" w:ascii="Cambria Math" w:hAnsi="Cambria Math"/>
          <w:color w:val="000000" w:themeColor="text1"/>
        </w:rPr>
        <w:t>𝐼</w:t>
      </w:r>
      <w:r>
        <w:rPr>
          <w:rFonts w:cs="Calibri" w:cstheme="minorHAnsi"/>
          <w:color w:val="000000" w:themeColor="text1"/>
        </w:rPr>
        <w:t xml:space="preserve">  </w:t>
      </w:r>
      <w:r>
        <w:rPr>
          <w:rFonts w:cs="Calibri" w:cstheme="minorHAnsi"/>
          <w:color w:val="000000" w:themeColor="text1"/>
        </w:rPr>
        <w:t xml:space="preserve">- natężenie prądu </w:t>
      </w:r>
    </w:p>
    <w:p>
      <w:pPr>
        <w:pStyle w:val="Normal"/>
        <w:spacing w:lineRule="auto" w:line="240"/>
        <w:ind w:left="-284" w:hanging="0"/>
        <w:rPr>
          <w:rFonts w:ascii="Calibri" w:hAnsi="Calibri" w:cs="Calibri" w:asciiTheme="minorHAnsi" w:cstheme="minorHAnsi" w:hAnsiTheme="minorHAnsi"/>
          <w:color w:val="000000" w:themeColor="text1"/>
        </w:rPr>
      </w:pPr>
      <w:r>
        <w:rPr>
          <w:rFonts w:eastAsia="Cambria Math" w:cs="Cambria Math" w:ascii="Cambria Math" w:hAnsi="Cambria Math"/>
          <w:color w:val="000000" w:themeColor="text1"/>
        </w:rPr>
        <w:t>𝑅</w:t>
      </w:r>
      <w:r>
        <w:rPr>
          <w:rFonts w:cs="Calibri" w:cstheme="minorHAnsi"/>
          <w:color w:val="000000" w:themeColor="text1"/>
        </w:rPr>
        <w:t xml:space="preserve">  </w:t>
      </w:r>
      <w:r>
        <w:rPr>
          <w:rFonts w:cs="Calibri" w:cstheme="minorHAnsi"/>
          <w:color w:val="000000" w:themeColor="text1"/>
        </w:rPr>
        <w:t xml:space="preserve">- odległość od przewodu z prądem </w:t>
      </w:r>
    </w:p>
    <w:p>
      <w:pPr>
        <w:pStyle w:val="Normal"/>
        <w:spacing w:lineRule="auto" w:line="240"/>
        <w:ind w:left="-284" w:hanging="0"/>
        <w:rPr>
          <w:rFonts w:ascii="Calibri" w:hAnsi="Calibri" w:cs="Calibri" w:asciiTheme="minorHAnsi" w:cstheme="minorHAnsi" w:hAnsiTheme="minorHAnsi"/>
          <w:color w:val="000000" w:themeColor="text1"/>
        </w:rPr>
      </w:pPr>
      <w:r>
        <w:rPr>
          <w:rFonts w:eastAsia="Cambria Math" w:cs="Cambria Math" w:ascii="Cambria Math" w:hAnsi="Cambria Math"/>
          <w:color w:val="000000" w:themeColor="text1"/>
        </w:rPr>
        <w:t>𝑑𝑙</w:t>
      </w:r>
      <w:r>
        <w:rPr>
          <w:rFonts w:cs="Calibri" w:cstheme="minorHAnsi"/>
          <w:color w:val="000000" w:themeColor="text1"/>
        </w:rPr>
        <w:t xml:space="preserve"> </w:t>
      </w:r>
      <w:r>
        <w:rPr>
          <w:rFonts w:cs="Calibri" w:cstheme="minorHAnsi"/>
          <w:color w:val="000000" w:themeColor="text1"/>
        </w:rPr>
        <w:t xml:space="preserve">- długość przewodu z prądem </w:t>
      </w:r>
    </w:p>
    <w:p>
      <w:pPr>
        <w:pStyle w:val="Normal"/>
        <w:spacing w:lineRule="auto" w:line="240" w:before="0" w:after="15"/>
        <w:ind w:left="-284" w:hanging="0"/>
        <w:rPr>
          <w:rFonts w:ascii="Calibri" w:hAnsi="Calibri" w:cs="Calibri" w:asciiTheme="minorHAnsi" w:cstheme="minorHAnsi" w:hAnsiTheme="minorHAnsi"/>
          <w:color w:val="000000" w:themeColor="text1"/>
        </w:rPr>
      </w:pPr>
      <w:r>
        <w:rPr>
          <w:rFonts w:eastAsia="Cambria Math" w:cs="Cambria Math" w:ascii="Cambria Math" w:hAnsi="Cambria Math"/>
          <w:color w:val="000000" w:themeColor="text1"/>
        </w:rPr>
        <w:t>𝜃</w:t>
      </w:r>
      <w:r>
        <w:rPr>
          <w:rFonts w:cs="Calibri" w:cstheme="minorHAnsi"/>
          <w:color w:val="000000" w:themeColor="text1"/>
        </w:rPr>
        <w:t xml:space="preserve">  </w:t>
      </w:r>
      <w:r>
        <w:rPr>
          <w:rFonts w:cs="Calibri" w:cstheme="minorHAnsi"/>
          <w:color w:val="000000" w:themeColor="text1"/>
        </w:rPr>
        <w:t xml:space="preserve">- kąt pomiędzy przewodnikiem a punktem pomiaru </w:t>
      </w:r>
    </w:p>
    <w:p>
      <w:pPr>
        <w:pStyle w:val="Normal"/>
        <w:spacing w:lineRule="auto" w:line="240" w:before="0" w:after="15"/>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hanging="0"/>
        <w:jc w:val="center"/>
        <w:rPr>
          <w:rFonts w:ascii="Calibri" w:hAnsi="Calibri" w:cs="Calibri" w:asciiTheme="minorHAnsi" w:cstheme="minorHAnsi" w:hAnsiTheme="minorHAnsi"/>
          <w:color w:val="000000" w:themeColor="text1"/>
        </w:rPr>
      </w:pPr>
      <w:r>
        <w:rPr/>
      </w:r>
      <m:oMath xmlns:m="http://schemas.openxmlformats.org/officeDocument/2006/math">
        <m:r>
          <w:rPr>
            <w:rFonts w:ascii="Cambria Math" w:hAnsi="Cambria Math"/>
          </w:rPr>
          <m:t xml:space="preserve">B</m:t>
        </m:r>
        <m:r>
          <w:rPr>
            <w:rFonts w:ascii="Cambria Math" w:hAnsi="Cambria Math"/>
          </w:rPr>
          <m:t xml:space="preserve">=</m:t>
        </m:r>
        <m:f>
          <m:num>
            <m:d>
              <m:dPr>
                <m:begChr m:val="("/>
                <m:endChr m:val=")"/>
              </m:dPr>
              <m:e>
                <m:sSup>
                  <m:e>
                    <m:r>
                      <w:rPr>
                        <w:rFonts w:ascii="Cambria Math" w:hAnsi="Cambria Math"/>
                      </w:rPr>
                      <m:t xml:space="preserve">10</m:t>
                    </m:r>
                  </m:e>
                  <m:sup>
                    <m:r>
                      <w:rPr>
                        <w:rFonts w:ascii="Cambria Math" w:hAnsi="Cambria Math"/>
                      </w:rPr>
                      <m:t xml:space="preserve">−</m:t>
                    </m:r>
                    <m:r>
                      <w:rPr>
                        <w:rFonts w:ascii="Cambria Math" w:hAnsi="Cambria Math"/>
                      </w:rPr>
                      <m:t xml:space="preserve">3</m:t>
                    </m:r>
                  </m:sup>
                </m:sSup>
                <m:d>
                  <m:dPr>
                    <m:begChr m:val="["/>
                    <m:endChr m:val="]"/>
                  </m:dPr>
                  <m:e>
                    <m:f>
                      <m:num>
                        <m:r>
                          <w:rPr>
                            <w:rFonts w:ascii="Cambria Math" w:hAnsi="Cambria Math"/>
                          </w:rPr>
                          <m:t xml:space="preserve">T</m:t>
                        </m:r>
                        <m:r>
                          <w:rPr>
                            <w:rFonts w:ascii="Cambria Math" w:hAnsi="Cambria Math"/>
                          </w:rPr>
                          <m:t xml:space="preserve">∗</m:t>
                        </m:r>
                        <m:r>
                          <w:rPr>
                            <w:rFonts w:ascii="Cambria Math" w:hAnsi="Cambria Math"/>
                          </w:rPr>
                          <m:t xml:space="preserve">m</m:t>
                        </m:r>
                      </m:num>
                      <m:den>
                        <m:r>
                          <w:rPr>
                            <w:rFonts w:ascii="Cambria Math" w:hAnsi="Cambria Math"/>
                          </w:rPr>
                          <m:t xml:space="preserve">A</m:t>
                        </m:r>
                      </m:den>
                    </m:f>
                  </m:e>
                </m:d>
              </m:e>
            </m:d>
            <m:r>
              <w:rPr>
                <w:rFonts w:ascii="Cambria Math" w:hAnsi="Cambria Math"/>
              </w:rPr>
              <m:t xml:space="preserve">∗</m:t>
            </m:r>
            <m:r>
              <w:rPr>
                <w:rFonts w:ascii="Cambria Math" w:hAnsi="Cambria Math"/>
              </w:rPr>
              <m:t xml:space="preserve">8</m:t>
            </m:r>
            <m:d>
              <m:dPr>
                <m:begChr m:val="["/>
                <m:endChr m:val="]"/>
              </m:dPr>
              <m:e>
                <m:r>
                  <w:rPr>
                    <w:rFonts w:ascii="Cambria Math" w:hAnsi="Cambria Math"/>
                  </w:rPr>
                  <m:t xml:space="preserve">A</m:t>
                </m:r>
              </m:e>
            </m:d>
            <m:r>
              <w:rPr>
                <w:rFonts w:ascii="Cambria Math" w:hAnsi="Cambria Math"/>
              </w:rPr>
              <m:t xml:space="preserve">∗</m:t>
            </m:r>
            <m:r>
              <w:rPr>
                <w:rFonts w:ascii="Cambria Math" w:hAnsi="Cambria Math"/>
              </w:rPr>
              <m:t xml:space="preserve">100</m:t>
            </m:r>
            <m:d>
              <m:dPr>
                <m:begChr m:val="["/>
                <m:endChr m:val="]"/>
              </m:dPr>
              <m:e>
                <m:r>
                  <w:rPr>
                    <w:rFonts w:ascii="Cambria Math" w:hAnsi="Cambria Math"/>
                  </w:rPr>
                  <m:t xml:space="preserve">m</m:t>
                </m:r>
              </m:e>
            </m:d>
            <m:r>
              <w:rPr>
                <w:rFonts w:ascii="Cambria Math" w:hAnsi="Cambria Math"/>
              </w:rPr>
              <m:t xml:space="preserve">∗</m:t>
            </m:r>
            <m:r>
              <w:rPr>
                <w:rFonts w:ascii="Cambria Math" w:hAnsi="Cambria Math"/>
              </w:rPr>
              <m:t xml:space="preserve">sin</m:t>
            </m:r>
            <m:r>
              <w:rPr>
                <w:rFonts w:ascii="Cambria Math" w:hAnsi="Cambria Math"/>
              </w:rPr>
              <m:t xml:space="preserve">90</m:t>
            </m:r>
            <m:r>
              <w:rPr>
                <w:rFonts w:ascii="Cambria Math" w:hAnsi="Cambria Math"/>
              </w:rPr>
              <m:t xml:space="preserve">°</m:t>
            </m:r>
          </m:num>
          <m:den>
            <m:sSup>
              <m:e>
                <m:d>
                  <m:dPr>
                    <m:begChr m:val="("/>
                    <m:endChr m:val=")"/>
                  </m:dPr>
                  <m:e>
                    <m:r>
                      <w:rPr>
                        <w:rFonts w:ascii="Cambria Math" w:hAnsi="Cambria Math"/>
                      </w:rPr>
                      <m:t xml:space="preserve">400</m:t>
                    </m:r>
                    <m:d>
                      <m:dPr>
                        <m:begChr m:val="["/>
                        <m:endChr m:val="]"/>
                      </m:dPr>
                      <m:e>
                        <m:r>
                          <w:rPr>
                            <w:rFonts w:ascii="Cambria Math" w:hAnsi="Cambria Math"/>
                          </w:rPr>
                          <m:t xml:space="preserve">m</m:t>
                        </m:r>
                      </m:e>
                    </m:d>
                  </m:e>
                </m:d>
              </m:e>
              <m:sup>
                <m:r>
                  <w:rPr>
                    <w:rFonts w:ascii="Cambria Math" w:hAnsi="Cambria Math"/>
                  </w:rPr>
                  <m:t xml:space="preserve">2</m:t>
                </m:r>
              </m:sup>
            </m:sSup>
          </m:den>
        </m:f>
        <m:r>
          <w:rPr>
            <w:rFonts w:ascii="Cambria Math" w:hAnsi="Cambria Math"/>
          </w:rPr>
          <m:t xml:space="preserve">=</m:t>
        </m:r>
        <m:r>
          <w:rPr>
            <w:rFonts w:ascii="Cambria Math" w:hAnsi="Cambria Math"/>
          </w:rPr>
          <m:t xml:space="preserve">0</m:t>
        </m:r>
        <m:r>
          <w:rPr>
            <w:rFonts w:ascii="Cambria Math" w:hAnsi="Cambria Math"/>
          </w:rPr>
          <m:t xml:space="preserve">,0000000005</m:t>
        </m:r>
        <m:d>
          <m:dPr>
            <m:begChr m:val="["/>
            <m:endChr m:val="]"/>
          </m:dPr>
          <m:e>
            <m:r>
              <w:rPr>
                <w:rFonts w:ascii="Cambria Math" w:hAnsi="Cambria Math"/>
              </w:rPr>
              <m:t xml:space="preserve">T</m:t>
            </m:r>
          </m:e>
        </m:d>
        <m:r>
          <w:rPr>
            <w:rFonts w:ascii="Cambria Math" w:hAnsi="Cambria Math"/>
          </w:rPr>
          <m:t xml:space="preserve">=</m:t>
        </m:r>
        <m:r>
          <w:rPr>
            <w:rFonts w:ascii="Cambria Math" w:hAnsi="Cambria Math"/>
          </w:rPr>
          <m:t xml:space="preserve">0</m:t>
        </m:r>
        <m:r>
          <w:rPr>
            <w:rFonts w:ascii="Cambria Math" w:hAnsi="Cambria Math"/>
          </w:rPr>
          <m:t xml:space="preserve">,0005</m:t>
        </m:r>
        <m:d>
          <m:dPr>
            <m:begChr m:val="["/>
            <m:endChr m:val="]"/>
          </m:dPr>
          <m:e>
            <m:r>
              <w:rPr>
                <w:rFonts w:ascii="Cambria Math" w:hAnsi="Cambria Math"/>
              </w:rPr>
              <m:t xml:space="preserve">μT</m:t>
            </m:r>
          </m:e>
        </m:d>
      </m:oMath>
      <w:r>
        <w:rPr>
          <w:rFonts w:cs="Calibri" w:cstheme="minorHAnsi"/>
          <w:color w:val="000000" w:themeColor="text1"/>
        </w:rPr>
        <w:t xml:space="preserve">  </w:t>
      </w:r>
    </w:p>
    <w:p>
      <w:pPr>
        <w:pStyle w:val="Normal"/>
        <w:tabs>
          <w:tab w:val="clear" w:pos="708"/>
          <w:tab w:val="center" w:pos="3127" w:leader="none"/>
          <w:tab w:val="center" w:pos="5119" w:leader="none"/>
        </w:tabs>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Pole magnetyczne pochodzące od kabla z prądem o stałym natężeniu równym 8A w odległości 400 m będzie 100 000 razy słabsze niż pole pochodzące od ziemskiego pola magnetycznego.</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 xml:space="preserve">Pole modułów fotowoltaicznych nie ma najmniejszego wpływu elektromagnetycznego na otaczające środowisko oraz ludzi.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Poziomy normy pola elektromagnetycznego nie będą w żaden sposób przekroczone. Promieniowanie paneli fotowoltaicznych będzie wynosiło w okolicach 0,0001674 Tesli. Prąd wyjściowy z inwerterów i generatorów będzie prowadzony liniami średniego napięcia, które położone będą pod ziemią, dlatego ich oddziaływanie będzie niezauważalne. Wobec tego nie istnieje możliwość by poziom promieniowania elektromagnetycznego mógł powodować jakiekolwiek oddziaływanie na zwierzęta czy rośliny bytujące w okolicy planowanej inwestycji.  Pole magnetyczne pochodzące od kabla z prądem o stałym natężeniu równym 8A w odległości 400 m będzie 100 000 razy słabsze iż pole pochodzące od ziemskiego pola magnetycznego. Pole modułów fotowoltaicznych nie ma najmniejszego wpływu elektromagnetycznego na otaczające środowisko oraz ludzi.</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Natężenie pól elektrycznego i magnetycznego, które powstają w sąsiedztwie tych urządzeń</w:t>
        <w:br/>
        <w:t>i instalacji elektrycznej są pomijalnie małe. Na podstawie wyników współczesnych badań stwierdzono, że pola elektromagnetyczne wytwarzane przez sieć elektroenergetyczną średniego napięcia częstotliwości 50 Hz nie wpływają niekorzystnie na organizmy żywe. Należy zauważyć iż na terenie elektrowni fotowoltaicznej będą pracowały jedynie urządzenia przetwarzające prąd niskich napięć. W transformatorze zajdzie przetworzenie napięcia z niskiego na średnie (15kV) i będzie to jedyne urządzenie na terenie farmy (oprócz sterowni – miejsca przyłączenia), które będzie operowało na takim napięciu. Na terenie farmy wszystkie linie kablowe niskiego i średniego napięcia (oprócz przewodów nn prowadzonych po konstrukcji nośnej paneli) będą wykonane jako podziemne. Oddziaływanie w zakresie emisji pól elektromagnetycznych występujące na terenie farmy fotowoltaicznej jest pomijalnie małe i nie będzie miało wpływu na okolicę i komfort życia ludzi oraz pracę urządzeń (np. RTV) znajdujących się w domach.</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r>
    </w:p>
    <w:p>
      <w:pPr>
        <w:pStyle w:val="Nagwek1"/>
        <w:ind w:left="308" w:right="0" w:hanging="10"/>
        <w:rPr/>
      </w:pPr>
      <w:bookmarkStart w:id="29" w:name="_Toc121388981"/>
      <w:r>
        <w:rPr/>
        <w:t>9. Rodzaj, przewidywane ilość i sposób postępowania z odpadami</w:t>
      </w:r>
      <w:bookmarkEnd w:id="29"/>
      <w:r>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r>
        <w:rPr>
          <w:rFonts w:cs="Calibri" w:cstheme="minorHAnsi"/>
          <w:color w:val="000000" w:themeColor="text1"/>
        </w:rPr>
        <w:tab/>
        <w:t xml:space="preserve"> </w:t>
      </w:r>
    </w:p>
    <w:p>
      <w:pPr>
        <w:pStyle w:val="ListParagraph"/>
        <w:numPr>
          <w:ilvl w:val="0"/>
          <w:numId w:val="5"/>
        </w:numPr>
        <w:spacing w:lineRule="auto" w:line="240" w:before="0" w:after="4"/>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t xml:space="preserve">Przewidywane wielkości wytwarzanych odpadów na etapie budowy: </w:t>
      </w:r>
    </w:p>
    <w:p>
      <w:pPr>
        <w:pStyle w:val="Caption"/>
        <w:keepNext w:val="true"/>
        <w:rPr/>
      </w:pPr>
      <w:r>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8</w:t>
      </w:r>
      <w:r>
        <w:rPr>
          <w:sz w:val="22"/>
          <w:b w:val="false"/>
          <w:szCs w:val="22"/>
          <w:bCs w:val="false"/>
        </w:rPr>
        <w:fldChar w:fldCharType="end"/>
      </w:r>
      <w:r>
        <w:rPr>
          <w:b w:val="false"/>
          <w:bCs w:val="false"/>
          <w:color w:val="auto"/>
          <w:sz w:val="22"/>
          <w:szCs w:val="22"/>
        </w:rPr>
        <w:t>. Przewidywane wielkości wytwarzanych odpadów na etapie budowy</w:t>
      </w:r>
    </w:p>
    <w:tbl>
      <w:tblPr>
        <w:tblStyle w:val="TableGrid"/>
        <w:tblW w:w="9923" w:type="dxa"/>
        <w:jc w:val="left"/>
        <w:tblInd w:w="-289" w:type="dxa"/>
        <w:tblCellMar>
          <w:top w:w="47" w:type="dxa"/>
          <w:left w:w="108" w:type="dxa"/>
          <w:bottom w:w="0" w:type="dxa"/>
          <w:right w:w="6" w:type="dxa"/>
        </w:tblCellMar>
        <w:tblLook w:firstRow="1" w:noVBand="1" w:lastRow="0" w:firstColumn="1" w:lastColumn="0" w:noHBand="0" w:val="04a0"/>
      </w:tblPr>
      <w:tblGrid>
        <w:gridCol w:w="2125"/>
        <w:gridCol w:w="5811"/>
        <w:gridCol w:w="1"/>
        <w:gridCol w:w="1986"/>
      </w:tblGrid>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Kod odpadu</w:t>
            </w:r>
          </w:p>
        </w:tc>
        <w:tc>
          <w:tcPr>
            <w:tcW w:w="5811"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Rodzaj odpadu</w:t>
            </w:r>
          </w:p>
        </w:tc>
        <w:tc>
          <w:tcPr>
            <w:tcW w:w="1987" w:type="dxa"/>
            <w:gridSpan w:val="2"/>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I  Ilość przewid. [Mg]</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12 01 02</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Cząstki i pyły żelaza oraz jego stopów</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0,02</w:t>
            </w:r>
          </w:p>
        </w:tc>
      </w:tr>
      <w:tr>
        <w:trPr>
          <w:trHeight w:val="276"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15 01 01</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Opakowania z papieru i tektury</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0,4</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15 01 02</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Opakowania z tworzyw sztucznych</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0,05</w:t>
            </w:r>
          </w:p>
        </w:tc>
      </w:tr>
      <w:tr>
        <w:trPr>
          <w:trHeight w:val="281"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15 01 03</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Opakowania z drewna</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0,3</w:t>
            </w:r>
          </w:p>
        </w:tc>
      </w:tr>
      <w:tr>
        <w:trPr>
          <w:trHeight w:val="276"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15 01 04</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Opakowania z metali</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0,02</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15 01 05</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Opakowania wielomateriałowe</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0,001</w:t>
            </w:r>
          </w:p>
        </w:tc>
      </w:tr>
      <w:tr>
        <w:trPr>
          <w:trHeight w:val="276"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17 01 02</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Odpady ze szkła</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0,005</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17 01 03</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Odpady z tworzyw sztucznych</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0,005</w:t>
            </w:r>
          </w:p>
        </w:tc>
      </w:tr>
      <w:tr>
        <w:trPr>
          <w:trHeight w:val="276"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17 01 82</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Inne, niewymienione odpady budowlane</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0,008</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17 04 05</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Żelazo i stal</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0,05</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17 04 11</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Kable, inne niż wymienione w 17 04 10</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0,22</w:t>
            </w:r>
          </w:p>
        </w:tc>
      </w:tr>
      <w:tr>
        <w:trPr>
          <w:trHeight w:val="548"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17 05 04</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Gleba, ziemia, w tym kamienie, inne niż w 17 05 03</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1,66</w:t>
            </w:r>
          </w:p>
        </w:tc>
      </w:tr>
      <w:tr>
        <w:trPr>
          <w:trHeight w:val="276"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19 10 02</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Odpady metali nieżelaznych</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0,008</w:t>
            </w:r>
          </w:p>
        </w:tc>
      </w:tr>
      <w:tr>
        <w:trPr>
          <w:trHeight w:val="280"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20 01 39</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Tworzywa sztuczne</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0,08</w:t>
            </w:r>
          </w:p>
        </w:tc>
      </w:tr>
      <w:tr>
        <w:trPr>
          <w:trHeight w:val="548"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20 03 04</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Szlamy ze zbiorników bezodpływowych służących do gromadzenia nieczystości</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0,8</w:t>
            </w:r>
          </w:p>
        </w:tc>
      </w:tr>
      <w:tr>
        <w:trPr>
          <w:trHeight w:val="276" w:hRule="atLeast"/>
        </w:trPr>
        <w:tc>
          <w:tcPr>
            <w:tcW w:w="2125"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firstLine="28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17 04 02</w:t>
            </w:r>
          </w:p>
        </w:tc>
        <w:tc>
          <w:tcPr>
            <w:tcW w:w="5811"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cs="Calibri" w:cstheme="minorHAnsi"/>
                <w:color w:val="000000" w:themeColor="text1"/>
                <w:sz w:val="22"/>
              </w:rPr>
              <w:t>Aluminium</w:t>
            </w:r>
          </w:p>
        </w:tc>
        <w:tc>
          <w:tcPr>
            <w:tcW w:w="1987" w:type="dxa"/>
            <w:gridSpan w:val="2"/>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0,005</w:t>
            </w:r>
          </w:p>
        </w:tc>
      </w:tr>
      <w:tr>
        <w:trPr>
          <w:trHeight w:val="281" w:hRule="atLeast"/>
        </w:trPr>
        <w:tc>
          <w:tcPr>
            <w:tcW w:w="7937" w:type="dxa"/>
            <w:gridSpan w:val="3"/>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right"/>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RAZEM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40" w:before="0" w:after="0"/>
              <w:ind w:left="-284"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3,63</w:t>
            </w:r>
          </w:p>
        </w:tc>
      </w:tr>
    </w:tbl>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Default"/>
        <w:ind w:left="-284" w:firstLine="568"/>
        <w:jc w:val="both"/>
        <w:rPr>
          <w:rFonts w:ascii="Calibri" w:hAnsi="Calibri" w:cs="Calibri" w:asciiTheme="minorHAnsi" w:cstheme="minorHAnsi" w:hAnsiTheme="minorHAnsi"/>
          <w:color w:val="000000" w:themeColor="text1"/>
          <w:szCs w:val="23"/>
        </w:rPr>
      </w:pPr>
      <w:r>
        <w:rPr>
          <w:rFonts w:cs="Calibri" w:cstheme="minorHAnsi"/>
          <w:color w:val="000000" w:themeColor="text1"/>
          <w:szCs w:val="23"/>
        </w:rPr>
        <w:t xml:space="preserve">Odpady powstałe na etapie realizacji będą gospodarowane i odbierane przez uprawnione do tego podmioty, zgodnie z art.27 ust.2 Ustawy o odpadach (Dz.U.2021.779). </w:t>
      </w:r>
    </w:p>
    <w:p>
      <w:pPr>
        <w:pStyle w:val="Normal"/>
        <w:spacing w:lineRule="auto" w:line="240" w:before="0" w:after="0"/>
        <w:ind w:left="0" w:hanging="0"/>
        <w:rPr>
          <w:rFonts w:ascii="Calibri" w:hAnsi="Calibri" w:cs="Calibri" w:asciiTheme="minorHAnsi" w:cstheme="minorHAnsi" w:hAnsiTheme="minorHAnsi"/>
          <w:color w:val="000000" w:themeColor="text1"/>
          <w:szCs w:val="23"/>
        </w:rPr>
      </w:pPr>
      <w:r>
        <w:rPr>
          <w:rFonts w:cs="Calibri" w:cstheme="minorHAnsi"/>
          <w:color w:val="000000" w:themeColor="text1"/>
          <w:szCs w:val="23"/>
        </w:rPr>
      </w:r>
    </w:p>
    <w:p>
      <w:pPr>
        <w:pStyle w:val="Normal"/>
        <w:spacing w:lineRule="auto" w:line="240" w:before="0" w:after="0"/>
        <w:ind w:left="0" w:hanging="0"/>
        <w:rPr>
          <w:rFonts w:ascii="Calibri" w:hAnsi="Calibri" w:cs="Calibri" w:asciiTheme="minorHAnsi" w:cstheme="minorHAnsi" w:hAnsiTheme="minorHAnsi"/>
          <w:color w:val="000000" w:themeColor="text1"/>
          <w:szCs w:val="23"/>
        </w:rPr>
      </w:pPr>
      <w:r>
        <w:rPr>
          <w:rFonts w:cs="Calibri" w:cstheme="minorHAnsi"/>
          <w:color w:val="000000" w:themeColor="text1"/>
          <w:szCs w:val="23"/>
        </w:rPr>
      </w:r>
    </w:p>
    <w:p>
      <w:pPr>
        <w:pStyle w:val="ListParagraph"/>
        <w:numPr>
          <w:ilvl w:val="0"/>
          <w:numId w:val="5"/>
        </w:numPr>
        <w:spacing w:lineRule="auto" w:line="240" w:before="0" w:after="4"/>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t xml:space="preserve">Przewidywane wielkości wytwarzanych odpadów na etapie eksploatacji: </w:t>
      </w:r>
    </w:p>
    <w:p>
      <w:pPr>
        <w:pStyle w:val="ListParagraph"/>
        <w:spacing w:lineRule="auto" w:line="240" w:before="0" w:after="4"/>
        <w:ind w:left="-284" w:hanging="0"/>
        <w:contextualSpacing/>
        <w:rPr>
          <w:rFonts w:ascii="Calibri" w:hAnsi="Calibri" w:cs="Calibri" w:asciiTheme="minorHAnsi" w:cstheme="minorHAnsi" w:hAnsiTheme="minorHAnsi"/>
          <w:color w:val="000000" w:themeColor="text1"/>
        </w:rPr>
      </w:pPr>
      <w:r>
        <w:rPr>
          <w:rFonts w:cs="Calibri" w:cstheme="minorHAnsi"/>
          <w:color w:val="000000" w:themeColor="text1"/>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9</w:t>
      </w:r>
      <w:r>
        <w:rPr>
          <w:sz w:val="22"/>
          <w:b w:val="false"/>
          <w:szCs w:val="22"/>
          <w:bCs w:val="false"/>
        </w:rPr>
        <w:fldChar w:fldCharType="end"/>
      </w:r>
      <w:r>
        <w:rPr>
          <w:b w:val="false"/>
          <w:bCs w:val="false"/>
          <w:color w:val="auto"/>
          <w:sz w:val="22"/>
          <w:szCs w:val="22"/>
        </w:rPr>
        <w:t>. Przewidywane wielkości wytwarzanych odpadów na etapie eksploatacji</w:t>
      </w:r>
    </w:p>
    <w:tbl>
      <w:tblPr>
        <w:tblStyle w:val="TableGrid"/>
        <w:tblW w:w="9923" w:type="dxa"/>
        <w:jc w:val="left"/>
        <w:tblInd w:w="-289" w:type="dxa"/>
        <w:tblCellMar>
          <w:top w:w="47" w:type="dxa"/>
          <w:left w:w="108" w:type="dxa"/>
          <w:bottom w:w="0" w:type="dxa"/>
          <w:right w:w="6" w:type="dxa"/>
        </w:tblCellMar>
        <w:tblLook w:firstRow="1" w:noVBand="1" w:lastRow="0" w:firstColumn="1" w:lastColumn="0" w:noHBand="0" w:val="04a0"/>
      </w:tblPr>
      <w:tblGrid>
        <w:gridCol w:w="1558"/>
        <w:gridCol w:w="6379"/>
        <w:gridCol w:w="1986"/>
      </w:tblGrid>
      <w:tr>
        <w:trPr>
          <w:trHeight w:val="280" w:hRule="atLeast"/>
        </w:trPr>
        <w:tc>
          <w:tcPr>
            <w:tcW w:w="1558"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76" w:before="0" w:after="0"/>
              <w:ind w:left="426" w:firstLine="34"/>
              <w:jc w:val="center"/>
              <w:rPr>
                <w:rFonts w:ascii="Calibri" w:hAnsi="Calibri" w:eastAsia="" w:cs="Calibri" w:asciiTheme="minorHAnsi" w:cstheme="minorHAnsi" w:eastAsiaTheme="minorEastAsia" w:hAnsiTheme="minorHAnsi"/>
                <w:color w:val="000000" w:themeColor="text1"/>
                <w:sz w:val="22"/>
              </w:rPr>
            </w:pPr>
            <w:r>
              <w:rPr>
                <w:rFonts w:cs="Calibri" w:cstheme="minorHAnsi"/>
                <w:color w:val="000000" w:themeColor="text1"/>
                <w:sz w:val="22"/>
              </w:rPr>
              <w:t>Kod odpadu</w:t>
            </w:r>
          </w:p>
        </w:tc>
        <w:tc>
          <w:tcPr>
            <w:tcW w:w="6379"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Rodzaj odpadu </w:t>
            </w:r>
          </w:p>
        </w:tc>
        <w:tc>
          <w:tcPr>
            <w:tcW w:w="1986"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Ilość przewid. [Mg]</w:t>
            </w:r>
          </w:p>
        </w:tc>
      </w:tr>
      <w:tr>
        <w:trPr>
          <w:trHeight w:val="280"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16 82 02</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Odpady inne niż wymienione w 16 82 01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0,2</w:t>
            </w:r>
          </w:p>
        </w:tc>
      </w:tr>
      <w:tr>
        <w:trPr>
          <w:trHeight w:val="548"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16 02 14</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Zużyte urządzenia inne niż wymienione w 16 02 09 do 16 02 13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0,05</w:t>
            </w:r>
          </w:p>
        </w:tc>
      </w:tr>
      <w:tr>
        <w:trPr>
          <w:trHeight w:val="544"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16 02 16</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Elementy usunięte z zużytych urządzeń inne niż wymienione </w:t>
              <w:br/>
              <w:t xml:space="preserve">w 16 02 15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0,0005</w:t>
            </w:r>
          </w:p>
        </w:tc>
      </w:tr>
      <w:tr>
        <w:trPr>
          <w:trHeight w:val="280"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17 04 07</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Mieszaniny metali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0,005</w:t>
            </w:r>
          </w:p>
        </w:tc>
      </w:tr>
      <w:tr>
        <w:trPr>
          <w:trHeight w:val="280"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17 04 11</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Kable inne niż wymienione w 17 04 10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0,005</w:t>
            </w:r>
          </w:p>
        </w:tc>
      </w:tr>
      <w:tr>
        <w:trPr>
          <w:trHeight w:val="544"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20 01 36</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Zużyte urządzenia elektryczne i elektroniczne inne niż wymienione </w:t>
              <w:br/>
              <w:t xml:space="preserve">w 20 01 21, 20 01 23 i 20 01 35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0,1</w:t>
            </w:r>
          </w:p>
        </w:tc>
      </w:tr>
      <w:tr>
        <w:trPr>
          <w:trHeight w:val="544"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firstLine="34"/>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13 03 10</w:t>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sz w:val="22"/>
              </w:rPr>
              <w:t>Oleje i ciecze stosowane jako elektroizolatory i nośniki ciepła zawierające PCB</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0,01</w:t>
            </w:r>
          </w:p>
        </w:tc>
      </w:tr>
      <w:tr>
        <w:trPr>
          <w:trHeight w:val="258" w:hRule="atLeast"/>
        </w:trPr>
        <w:tc>
          <w:tcPr>
            <w:tcW w:w="1558"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rPr>
                <w:rFonts w:ascii="Calibri" w:hAnsi="Calibri" w:cs="Calibri" w:asciiTheme="minorHAnsi" w:cstheme="minorHAnsi" w:hAnsiTheme="minorHAnsi"/>
                <w:color w:val="000000" w:themeColor="text1"/>
                <w:sz w:val="22"/>
              </w:rPr>
            </w:pPr>
            <w:r>
              <w:rPr>
                <w:rFonts w:cs="Calibri" w:cstheme="minorHAnsi"/>
                <w:color w:val="000000" w:themeColor="text1"/>
                <w:sz w:val="22"/>
              </w:rPr>
            </w:r>
          </w:p>
        </w:tc>
        <w:tc>
          <w:tcPr>
            <w:tcW w:w="6379"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right"/>
              <w:rPr>
                <w:rFonts w:ascii="Calibri" w:hAnsi="Calibri" w:cs="Calibri" w:asciiTheme="minorHAnsi" w:cstheme="minorHAnsi" w:hAnsiTheme="minorHAnsi"/>
                <w:color w:val="000000" w:themeColor="text1"/>
                <w:sz w:val="22"/>
              </w:rPr>
            </w:pPr>
            <w:r>
              <w:rPr>
                <w:rFonts w:cs="Calibri" w:cstheme="minorHAnsi"/>
                <w:color w:val="000000" w:themeColor="text1"/>
                <w:sz w:val="22"/>
              </w:rPr>
              <w:t xml:space="preserve">RAZEM </w:t>
            </w:r>
          </w:p>
        </w:tc>
        <w:tc>
          <w:tcPr>
            <w:tcW w:w="1986" w:type="dxa"/>
            <w:tcBorders>
              <w:top w:val="single" w:sz="4" w:space="0" w:color="1F3864"/>
              <w:left w:val="single" w:sz="4" w:space="0" w:color="1F3864"/>
              <w:bottom w:val="single" w:sz="4" w:space="0" w:color="1F3864"/>
              <w:right w:val="single" w:sz="4" w:space="0" w:color="1F3864"/>
            </w:tcBorders>
            <w:shd w:fill="auto" w:val="clear"/>
          </w:tcPr>
          <w:p>
            <w:pPr>
              <w:pStyle w:val="Normal"/>
              <w:spacing w:lineRule="auto" w:line="276" w:before="0" w:after="0"/>
              <w:ind w:left="426"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0,37</w:t>
            </w:r>
          </w:p>
        </w:tc>
      </w:tr>
    </w:tbl>
    <w:p>
      <w:pPr>
        <w:pStyle w:val="Normal"/>
        <w:tabs>
          <w:tab w:val="clear" w:pos="708"/>
          <w:tab w:val="center" w:pos="3391" w:leader="none"/>
        </w:tabs>
        <w:spacing w:lineRule="auto" w:line="276"/>
        <w:ind w:left="426" w:hanging="0"/>
        <w:rPr>
          <w:rFonts w:ascii="Times New Roman" w:hAnsi="Times New Roman" w:cs="Times New Roman"/>
          <w:color w:val="000000" w:themeColor="text1"/>
          <w:szCs w:val="24"/>
          <w:lang w:eastAsia="en-US"/>
        </w:rPr>
      </w:pPr>
      <w:r>
        <w:rPr>
          <w:rFonts w:cs="Times New Roman" w:ascii="Times New Roman" w:hAnsi="Times New Roman"/>
          <w:color w:val="000000" w:themeColor="text1"/>
          <w:szCs w:val="24"/>
        </w:rPr>
        <w:tab/>
        <w:t xml:space="preserve"> </w:t>
      </w:r>
      <w:r>
        <w:rPr>
          <w:rFonts w:cs="Calibri" w:cstheme="minorHAnsi"/>
          <w:color w:val="000000" w:themeColor="text1"/>
        </w:rPr>
        <w:tab/>
        <w:t xml:space="preserve"> </w:t>
      </w:r>
    </w:p>
    <w:p>
      <w:pPr>
        <w:pStyle w:val="Normal"/>
        <w:spacing w:lineRule="auto" w:line="240" w:before="0" w:after="0"/>
        <w:ind w:left="-284" w:firstLine="568"/>
        <w:rPr>
          <w:rFonts w:ascii="Calibri" w:hAnsi="Calibri" w:cs="Calibri" w:asciiTheme="minorHAnsi" w:cstheme="minorHAnsi" w:hAnsiTheme="minorHAnsi"/>
          <w:color w:val="000000" w:themeColor="text1"/>
          <w:szCs w:val="23"/>
        </w:rPr>
      </w:pPr>
      <w:r>
        <w:rPr>
          <w:rFonts w:cs="Calibri" w:cstheme="minorHAnsi"/>
          <w:color w:val="000000" w:themeColor="text1"/>
          <w:szCs w:val="23"/>
        </w:rPr>
        <w:t>Na etapie eksploatacji inwestycji odpady nie będą magazynowane na terenie elektrowni. Po wykonaniu serwisu bądź naprawy urządzenia – zespół serwisowy będzie zobligowany do zabrania ich</w:t>
        <w:br/>
        <w:t>z terenu elektrowni do miejsca magazynowania za potwierdzeniem przekazania podmiotowi, który posiada zezwolenie zgodnie z art. 27 ust. 2 Ustawy o odpadach (Dz.U.2021.779).</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3"/>
        </w:rPr>
      </w:pPr>
      <w:r>
        <w:rPr>
          <w:rFonts w:cs="Calibri" w:cstheme="minorHAnsi"/>
          <w:color w:val="000000" w:themeColor="text1"/>
          <w:szCs w:val="23"/>
        </w:rPr>
      </w:r>
    </w:p>
    <w:p>
      <w:pPr>
        <w:pStyle w:val="Default"/>
        <w:numPr>
          <w:ilvl w:val="0"/>
          <w:numId w:val="5"/>
        </w:numPr>
        <w:ind w:left="-284" w:hanging="0"/>
        <w:rPr>
          <w:rFonts w:ascii="Calibri" w:hAnsi="Calibri" w:cs="Calibri" w:asciiTheme="minorHAnsi" w:cstheme="minorHAnsi" w:hAnsiTheme="minorHAnsi"/>
          <w:color w:val="000000" w:themeColor="text1"/>
        </w:rPr>
      </w:pPr>
      <w:r>
        <w:rPr>
          <w:rFonts w:cs="Calibri" w:cstheme="minorHAnsi"/>
          <w:color w:val="000000" w:themeColor="text1"/>
        </w:rPr>
        <w:t xml:space="preserve">Przewidywane wielkości wytwarzanych odpadów na etapie likwidacji: </w:t>
      </w:r>
    </w:p>
    <w:p>
      <w:pPr>
        <w:pStyle w:val="Default"/>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Default"/>
        <w:tabs>
          <w:tab w:val="clear" w:pos="708"/>
          <w:tab w:val="left" w:pos="567" w:leader="none"/>
        </w:tabs>
        <w:ind w:left="-284" w:firstLine="568"/>
        <w:jc w:val="both"/>
        <w:rPr>
          <w:rFonts w:ascii="Calibri" w:hAnsi="Calibri" w:cs="Calibri" w:asciiTheme="minorHAnsi" w:cstheme="minorHAnsi" w:hAnsiTheme="minorHAnsi"/>
          <w:color w:val="000000" w:themeColor="text1"/>
        </w:rPr>
      </w:pPr>
      <w:r>
        <w:rPr>
          <w:rFonts w:cs="Calibri" w:cstheme="minorHAnsi"/>
          <w:color w:val="000000" w:themeColor="text1"/>
        </w:rPr>
        <w:t xml:space="preserve">W fazie likwidacji inwestycji podstawową czynnością będzie demontaż poszczególnych elementów wchodzących w skład elektrowni słonecznej. Powstaną odpady związane z rozbiórką konstrukcji pod panele fotowoltaiczne oraz usunięciem infrastruktury elektroenergetycznej, głównie: </w:t>
      </w:r>
    </w:p>
    <w:p>
      <w:pPr>
        <w:pStyle w:val="Default"/>
        <w:numPr>
          <w:ilvl w:val="0"/>
          <w:numId w:val="11"/>
        </w:numPr>
        <w:jc w:val="both"/>
        <w:rPr>
          <w:rFonts w:ascii="Calibri" w:hAnsi="Calibri" w:cs="Calibri" w:asciiTheme="minorHAnsi" w:cstheme="minorHAnsi" w:hAnsiTheme="minorHAnsi"/>
          <w:color w:val="000000" w:themeColor="text1"/>
        </w:rPr>
      </w:pPr>
      <w:r>
        <w:rPr>
          <w:rFonts w:cs="Calibri" w:cstheme="minorHAnsi"/>
          <w:color w:val="000000" w:themeColor="text1"/>
        </w:rPr>
        <w:t xml:space="preserve">złom stalowy, </w:t>
      </w:r>
    </w:p>
    <w:p>
      <w:pPr>
        <w:pStyle w:val="Default"/>
        <w:numPr>
          <w:ilvl w:val="0"/>
          <w:numId w:val="11"/>
        </w:numPr>
        <w:jc w:val="both"/>
        <w:rPr>
          <w:rFonts w:ascii="Calibri" w:hAnsi="Calibri" w:cs="Calibri" w:asciiTheme="minorHAnsi" w:cstheme="minorHAnsi" w:hAnsiTheme="minorHAnsi"/>
          <w:color w:val="000000" w:themeColor="text1"/>
        </w:rPr>
      </w:pPr>
      <w:r>
        <w:rPr>
          <w:rFonts w:cs="Calibri" w:cstheme="minorHAnsi"/>
          <w:color w:val="000000" w:themeColor="text1"/>
        </w:rPr>
        <w:t xml:space="preserve">elementy lub części składowe usunięte z zużytych urządzeń, </w:t>
      </w:r>
    </w:p>
    <w:p>
      <w:pPr>
        <w:pStyle w:val="Default"/>
        <w:numPr>
          <w:ilvl w:val="0"/>
          <w:numId w:val="11"/>
        </w:numPr>
        <w:jc w:val="both"/>
        <w:rPr>
          <w:rFonts w:ascii="Calibri" w:hAnsi="Calibri" w:cs="Calibri" w:asciiTheme="minorHAnsi" w:cstheme="minorHAnsi" w:hAnsiTheme="minorHAnsi"/>
          <w:color w:val="000000" w:themeColor="text1"/>
        </w:rPr>
      </w:pPr>
      <w:r>
        <w:rPr>
          <w:rFonts w:cs="Calibri" w:cstheme="minorHAnsi"/>
          <w:color w:val="000000" w:themeColor="text1"/>
        </w:rPr>
        <w:t xml:space="preserve">zdemontowane kable aluminiowe i miedziane w izolacji, </w:t>
      </w:r>
    </w:p>
    <w:p>
      <w:pPr>
        <w:pStyle w:val="Default"/>
        <w:numPr>
          <w:ilvl w:val="0"/>
          <w:numId w:val="11"/>
        </w:numPr>
        <w:jc w:val="both"/>
        <w:rPr>
          <w:rFonts w:ascii="Calibri" w:hAnsi="Calibri" w:cs="Calibri" w:asciiTheme="minorHAnsi" w:cstheme="minorHAnsi" w:hAnsiTheme="minorHAnsi"/>
          <w:color w:val="000000" w:themeColor="text1"/>
        </w:rPr>
      </w:pPr>
      <w:r>
        <w:rPr>
          <w:rFonts w:cs="Calibri" w:cstheme="minorHAnsi"/>
          <w:color w:val="000000" w:themeColor="text1"/>
        </w:rPr>
        <w:t xml:space="preserve">obudowy rozdzielnic i wyposażenie (aparaty elektryczne), </w:t>
      </w:r>
    </w:p>
    <w:p>
      <w:pPr>
        <w:pStyle w:val="ListParagraph"/>
        <w:numPr>
          <w:ilvl w:val="0"/>
          <w:numId w:val="11"/>
        </w:numPr>
        <w:spacing w:lineRule="auto" w:line="240" w:before="0" w:after="0"/>
        <w:contextualSpacing/>
        <w:rPr>
          <w:rFonts w:ascii="Calibri" w:hAnsi="Calibri" w:cs="Calibri" w:asciiTheme="minorHAnsi" w:cstheme="minorHAnsi" w:hAnsiTheme="minorHAnsi"/>
          <w:color w:val="000000" w:themeColor="text1"/>
          <w:szCs w:val="24"/>
        </w:rPr>
      </w:pPr>
      <w:r>
        <w:rPr>
          <w:rFonts w:cs="Calibri" w:cstheme="minorHAnsi"/>
          <w:color w:val="000000" w:themeColor="text1"/>
          <w:szCs w:val="24"/>
        </w:rPr>
        <w:t>żelbetowa konstrukcja trafostacji.</w:t>
      </w:r>
    </w:p>
    <w:p>
      <w:pPr>
        <w:pStyle w:val="Normal"/>
        <w:tabs>
          <w:tab w:val="clear" w:pos="708"/>
          <w:tab w:val="center" w:pos="3399" w:leader="none"/>
        </w:tabs>
        <w:spacing w:lineRule="auto" w:line="240"/>
        <w:ind w:left="0"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before="0" w:after="0"/>
        <w:ind w:left="-284" w:firstLine="568"/>
        <w:rPr>
          <w:rFonts w:ascii="Calibri" w:hAnsi="Calibri" w:cs="Calibri" w:asciiTheme="minorHAnsi" w:cstheme="minorHAnsi" w:hAnsiTheme="minorHAnsi"/>
          <w:color w:val="000000" w:themeColor="text1"/>
          <w:szCs w:val="23"/>
        </w:rPr>
      </w:pPr>
      <w:r>
        <w:rPr>
          <w:rFonts w:cs="Calibri" w:cstheme="minorHAnsi"/>
          <w:color w:val="000000" w:themeColor="text1"/>
          <w:szCs w:val="23"/>
        </w:rPr>
        <w:t xml:space="preserve">Odpady te zostaną przekazane do wykorzystania lub unieszkodliwiania uprawnionemu odbiorcy </w:t>
        <w:br/>
        <w:t>i w zdecydowanej większości poddane recyklingowi. Przewidywany czas eksploatacji elektrowni fotowoltaicznej to 25 lat.</w:t>
      </w:r>
    </w:p>
    <w:p>
      <w:pPr>
        <w:pStyle w:val="Normal"/>
        <w:spacing w:lineRule="auto" w:line="240" w:before="0" w:after="0"/>
        <w:ind w:left="0" w:hanging="0"/>
        <w:rPr>
          <w:rFonts w:ascii="Calibri" w:hAnsi="Calibri" w:cs="Calibri" w:asciiTheme="minorHAnsi" w:cstheme="minorHAnsi" w:hAnsiTheme="minorHAnsi"/>
          <w:color w:val="000000" w:themeColor="text1"/>
          <w:szCs w:val="23"/>
        </w:rPr>
      </w:pPr>
      <w:r>
        <w:rPr>
          <w:rFonts w:cs="Calibri" w:cstheme="minorHAnsi"/>
          <w:color w:val="000000" w:themeColor="text1"/>
          <w:szCs w:val="23"/>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10</w:t>
      </w:r>
      <w:r>
        <w:rPr>
          <w:sz w:val="22"/>
          <w:b w:val="false"/>
          <w:szCs w:val="22"/>
          <w:bCs w:val="false"/>
        </w:rPr>
        <w:fldChar w:fldCharType="end"/>
      </w:r>
      <w:r>
        <w:rPr>
          <w:b w:val="false"/>
          <w:bCs w:val="false"/>
          <w:color w:val="auto"/>
          <w:sz w:val="22"/>
          <w:szCs w:val="22"/>
        </w:rPr>
        <w:t>. Przewidywane wielkości wytwarzanych odpadów na etapie likwidacji</w:t>
      </w:r>
    </w:p>
    <w:tbl>
      <w:tblPr>
        <w:tblW w:w="9934" w:type="dxa"/>
        <w:jc w:val="left"/>
        <w:tblInd w:w="-294" w:type="dxa"/>
        <w:tblCellMar>
          <w:top w:w="0" w:type="dxa"/>
          <w:left w:w="108" w:type="dxa"/>
          <w:bottom w:w="0" w:type="dxa"/>
          <w:right w:w="108" w:type="dxa"/>
        </w:tblCellMar>
        <w:tblLook w:firstRow="0" w:noVBand="0" w:lastRow="0" w:firstColumn="0" w:lastColumn="0" w:noHBand="0" w:val="0000"/>
      </w:tblPr>
      <w:tblGrid>
        <w:gridCol w:w="1700"/>
        <w:gridCol w:w="5812"/>
        <w:gridCol w:w="1"/>
        <w:gridCol w:w="2421"/>
      </w:tblGrid>
      <w:tr>
        <w:trPr>
          <w:trHeight w:val="110" w:hRule="atLeast"/>
        </w:trPr>
        <w:tc>
          <w:tcPr>
            <w:tcW w:w="1700" w:type="dxa"/>
            <w:tcBorders>
              <w:top w:val="single" w:sz="8" w:space="0" w:color="1F3864"/>
              <w:left w:val="single" w:sz="8" w:space="0" w:color="1F3864"/>
              <w:bottom w:val="single" w:sz="8" w:space="0" w:color="1F3864"/>
              <w:right w:val="single" w:sz="8" w:space="0" w:color="1F3864"/>
            </w:tcBorders>
            <w:shd w:color="auto" w:fill="F2F2F2" w:themeFill="background1" w:themeFillShade="f2"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b/>
                <w:bCs/>
                <w:color w:val="000000" w:themeColor="text1"/>
                <w:sz w:val="22"/>
              </w:rPr>
              <w:t>Kod odpadu</w:t>
            </w:r>
          </w:p>
        </w:tc>
        <w:tc>
          <w:tcPr>
            <w:tcW w:w="5812" w:type="dxa"/>
            <w:tcBorders>
              <w:top w:val="single" w:sz="8" w:space="0" w:color="1F3864"/>
              <w:left w:val="single" w:sz="8" w:space="0" w:color="1F3864"/>
              <w:bottom w:val="single" w:sz="8" w:space="0" w:color="1F3864"/>
              <w:right w:val="single" w:sz="8" w:space="0" w:color="1F3864"/>
            </w:tcBorders>
            <w:shd w:color="auto" w:fill="F2F2F2" w:themeFill="background1" w:themeFillShade="f2"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b/>
                <w:bCs/>
                <w:color w:val="000000" w:themeColor="text1"/>
                <w:sz w:val="22"/>
              </w:rPr>
              <w:t xml:space="preserve">Rodzaj odpadu </w:t>
            </w:r>
          </w:p>
        </w:tc>
        <w:tc>
          <w:tcPr>
            <w:tcW w:w="2422" w:type="dxa"/>
            <w:gridSpan w:val="2"/>
            <w:tcBorders>
              <w:top w:val="single" w:sz="8" w:space="0" w:color="1F3864"/>
              <w:left w:val="single" w:sz="8" w:space="0" w:color="1F3864"/>
              <w:bottom w:val="single" w:sz="8" w:space="0" w:color="1F3864"/>
              <w:right w:val="single" w:sz="8" w:space="0" w:color="1F3864"/>
            </w:tcBorders>
            <w:shd w:color="auto" w:fill="F2F2F2" w:themeFill="background1" w:themeFillShade="f2"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b/>
                <w:bCs/>
                <w:color w:val="000000" w:themeColor="text1"/>
                <w:sz w:val="22"/>
              </w:rPr>
              <w:t>Ilość przewid. [Mg]</w:t>
            </w:r>
          </w:p>
        </w:tc>
      </w:tr>
      <w:tr>
        <w:trPr>
          <w:trHeight w:val="244"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16 02 14</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Zużyte urządzenia inne niż wymienione w 16 02 09 do 16 02 13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62 Mg</w:t>
            </w:r>
          </w:p>
        </w:tc>
      </w:tr>
      <w:tr>
        <w:trPr>
          <w:trHeight w:val="243"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16 02 16</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Elementy usunięte z zużytych urządzeń inne niż wymienione w 16 02 15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0,5 Mg</w:t>
            </w:r>
          </w:p>
        </w:tc>
      </w:tr>
      <w:tr>
        <w:trPr>
          <w:trHeight w:val="110"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16 06 02</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Baterie i akumulatory niklowo-kadmowe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0,03Mg</w:t>
            </w:r>
          </w:p>
        </w:tc>
      </w:tr>
      <w:tr>
        <w:trPr>
          <w:trHeight w:val="110"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17 02 03</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Odpady tworzyw sztucznych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1,5 Mg</w:t>
            </w:r>
          </w:p>
        </w:tc>
      </w:tr>
      <w:tr>
        <w:trPr>
          <w:trHeight w:val="110"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17 04 02</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Aluminium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0,3 Mg</w:t>
            </w:r>
          </w:p>
        </w:tc>
      </w:tr>
      <w:tr>
        <w:trPr>
          <w:trHeight w:val="110"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17 04 05</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Żelazo i stal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74 Mg</w:t>
            </w:r>
          </w:p>
        </w:tc>
      </w:tr>
      <w:tr>
        <w:trPr>
          <w:trHeight w:val="110" w:hRule="atLeast"/>
        </w:trPr>
        <w:tc>
          <w:tcPr>
            <w:tcW w:w="1700"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176"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17 04 11</w:t>
            </w:r>
          </w:p>
        </w:tc>
        <w:tc>
          <w:tcPr>
            <w:tcW w:w="5812"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0" w:hanging="0"/>
              <w:jc w:val="lef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 xml:space="preserve">Kable inne niż wymienione w 17 04 10 </w:t>
            </w:r>
          </w:p>
        </w:tc>
        <w:tc>
          <w:tcPr>
            <w:tcW w:w="2422" w:type="dxa"/>
            <w:gridSpan w:val="2"/>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color w:val="000000" w:themeColor="text1"/>
                <w:sz w:val="22"/>
              </w:rPr>
              <w:t>6 Mg</w:t>
            </w:r>
          </w:p>
        </w:tc>
      </w:tr>
      <w:tr>
        <w:trPr>
          <w:trHeight w:val="110" w:hRule="atLeast"/>
        </w:trPr>
        <w:tc>
          <w:tcPr>
            <w:tcW w:w="7513" w:type="dxa"/>
            <w:gridSpan w:val="3"/>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284" w:hanging="0"/>
              <w:jc w:val="right"/>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b/>
                <w:bCs/>
                <w:color w:val="000000" w:themeColor="text1"/>
                <w:sz w:val="22"/>
              </w:rPr>
              <w:t xml:space="preserve">RAZEM </w:t>
            </w:r>
          </w:p>
        </w:tc>
        <w:tc>
          <w:tcPr>
            <w:tcW w:w="2421" w:type="dxa"/>
            <w:tcBorders>
              <w:top w:val="single" w:sz="8" w:space="0" w:color="1F3864"/>
              <w:left w:val="single" w:sz="8" w:space="0" w:color="1F3864"/>
              <w:bottom w:val="single" w:sz="8" w:space="0" w:color="1F3864"/>
              <w:right w:val="single" w:sz="8" w:space="0" w:color="1F3864"/>
            </w:tcBorders>
            <w:shd w:fill="auto" w:val="clear"/>
          </w:tcPr>
          <w:p>
            <w:pPr>
              <w:pStyle w:val="Normal"/>
              <w:spacing w:lineRule="auto" w:line="240" w:before="0" w:after="0"/>
              <w:ind w:left="33" w:hanging="0"/>
              <w:jc w:val="center"/>
              <w:rPr>
                <w:rFonts w:ascii="Calibri" w:hAnsi="Calibri" w:eastAsia="" w:cs="Calibri" w:asciiTheme="minorHAnsi" w:cstheme="minorHAnsi" w:eastAsiaTheme="minorEastAsia" w:hAnsiTheme="minorHAnsi"/>
                <w:color w:val="000000" w:themeColor="text1"/>
                <w:sz w:val="22"/>
              </w:rPr>
            </w:pPr>
            <w:r>
              <w:rPr>
                <w:rFonts w:eastAsia="" w:cs="Calibri" w:cstheme="minorHAnsi" w:eastAsiaTheme="minorEastAsia"/>
                <w:b/>
                <w:bCs/>
                <w:color w:val="000000" w:themeColor="text1"/>
                <w:sz w:val="22"/>
              </w:rPr>
              <w:t>144,33 Mg</w:t>
            </w:r>
          </w:p>
        </w:tc>
      </w:tr>
    </w:tbl>
    <w:p>
      <w:pPr>
        <w:pStyle w:val="Normal"/>
        <w:spacing w:lineRule="auto" w:line="240" w:before="0" w:after="241"/>
        <w:ind w:left="0" w:hanging="0"/>
        <w:rPr>
          <w:rFonts w:ascii="Calibri" w:hAnsi="Calibri" w:cs="Calibri" w:asciiTheme="minorHAnsi" w:cstheme="minorHAnsi" w:hAnsiTheme="minorHAnsi"/>
          <w:b/>
          <w:b/>
          <w:color w:val="000000" w:themeColor="text1"/>
        </w:rPr>
      </w:pPr>
      <w:r>
        <w:rPr>
          <w:rFonts w:cs="Calibri" w:cstheme="minorHAnsi"/>
          <w:b/>
          <w:color w:val="000000" w:themeColor="text1"/>
        </w:rPr>
      </w:r>
    </w:p>
    <w:p>
      <w:pPr>
        <w:pStyle w:val="Normal"/>
        <w:spacing w:lineRule="auto" w:line="240" w:before="0" w:after="241"/>
        <w:ind w:left="0" w:hanging="0"/>
        <w:rPr>
          <w:rFonts w:ascii="Calibri" w:hAnsi="Calibri" w:cs="Calibri" w:asciiTheme="minorHAnsi" w:cstheme="minorHAnsi" w:hAnsiTheme="minorHAnsi"/>
          <w:b/>
          <w:b/>
          <w:color w:val="000000" w:themeColor="text1"/>
        </w:rPr>
      </w:pPr>
      <w:r>
        <w:rPr>
          <w:rFonts w:cs="Calibri" w:cstheme="minorHAnsi"/>
          <w:b/>
          <w:color w:val="000000" w:themeColor="text1"/>
        </w:rPr>
        <w:t xml:space="preserve">LCA paneli fotowoltaicznych </w:t>
      </w:r>
    </w:p>
    <w:p>
      <w:pPr>
        <w:pStyle w:val="Normal"/>
        <w:spacing w:lineRule="auto" w:line="240" w:before="0" w:after="249"/>
        <w:ind w:left="-284" w:firstLine="568"/>
        <w:rPr>
          <w:rFonts w:ascii="Calibri" w:hAnsi="Calibri" w:cs="Calibri" w:asciiTheme="minorHAnsi" w:cstheme="minorHAnsi" w:hAnsiTheme="minorHAnsi"/>
          <w:color w:val="000000" w:themeColor="text1"/>
        </w:rPr>
      </w:pPr>
      <w:r>
        <w:rPr>
          <w:rFonts w:cs="Calibri" w:cstheme="minorHAnsi"/>
          <w:color w:val="000000" w:themeColor="text1"/>
        </w:rPr>
        <w:t>Poniżej przedstawiono stopień odzysku materiałów podlegających recyklingowi.</w:t>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11</w:t>
      </w:r>
      <w:r>
        <w:rPr>
          <w:sz w:val="22"/>
          <w:b w:val="false"/>
          <w:szCs w:val="22"/>
          <w:bCs w:val="false"/>
        </w:rPr>
        <w:fldChar w:fldCharType="end"/>
      </w:r>
      <w:r>
        <w:rPr>
          <w:b w:val="false"/>
          <w:bCs w:val="false"/>
          <w:color w:val="auto"/>
          <w:sz w:val="22"/>
          <w:szCs w:val="22"/>
        </w:rPr>
        <w:t>. Stopień odzysku materiałów w recyklingu modułów fotowoltaicznych</w:t>
      </w:r>
    </w:p>
    <w:tbl>
      <w:tblPr>
        <w:tblStyle w:val="TableGrid"/>
        <w:tblW w:w="9929" w:type="dxa"/>
        <w:jc w:val="left"/>
        <w:tblInd w:w="-289" w:type="dxa"/>
        <w:tblCellMar>
          <w:top w:w="57" w:type="dxa"/>
          <w:left w:w="118" w:type="dxa"/>
          <w:bottom w:w="0" w:type="dxa"/>
          <w:right w:w="71" w:type="dxa"/>
        </w:tblCellMar>
        <w:tblLook w:firstRow="1" w:noVBand="1" w:lastRow="0" w:firstColumn="1" w:lastColumn="0" w:noHBand="0" w:val="04a0"/>
      </w:tblPr>
      <w:tblGrid>
        <w:gridCol w:w="1841"/>
        <w:gridCol w:w="2718"/>
        <w:gridCol w:w="1416"/>
        <w:gridCol w:w="1700"/>
        <w:gridCol w:w="2254"/>
      </w:tblGrid>
      <w:tr>
        <w:trPr>
          <w:trHeight w:val="610" w:hRule="atLeast"/>
        </w:trPr>
        <w:tc>
          <w:tcPr>
            <w:tcW w:w="1841"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LP.</w:t>
            </w:r>
          </w:p>
        </w:tc>
        <w:tc>
          <w:tcPr>
            <w:tcW w:w="2718"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MATERIAŁ</w:t>
            </w:r>
          </w:p>
        </w:tc>
        <w:tc>
          <w:tcPr>
            <w:tcW w:w="1416"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ILOŚĆ [kg/m</w:t>
            </w:r>
            <w:r>
              <w:rPr>
                <w:rFonts w:cs="Calibri" w:cstheme="minorHAnsi"/>
                <w:b/>
                <w:color w:val="000000" w:themeColor="text1"/>
                <w:sz w:val="22"/>
                <w:vertAlign w:val="superscript"/>
              </w:rPr>
              <w:t>2</w:t>
            </w:r>
            <w:r>
              <w:rPr>
                <w:rFonts w:cs="Calibri" w:cstheme="minorHAnsi"/>
                <w:b/>
                <w:color w:val="000000" w:themeColor="text1"/>
                <w:sz w:val="22"/>
              </w:rPr>
              <w:t>]</w:t>
            </w:r>
          </w:p>
        </w:tc>
        <w:tc>
          <w:tcPr>
            <w:tcW w:w="1700"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UDZIAŁ MASOWY</w:t>
            </w:r>
          </w:p>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w:t>
            </w:r>
          </w:p>
        </w:tc>
        <w:tc>
          <w:tcPr>
            <w:tcW w:w="2254"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STOPIEŃ ODZYSKU</w:t>
            </w:r>
          </w:p>
        </w:tc>
      </w:tr>
      <w:tr>
        <w:trPr>
          <w:trHeight w:val="311" w:hRule="atLeast"/>
        </w:trPr>
        <w:tc>
          <w:tcPr>
            <w:tcW w:w="184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1</w:t>
            </w:r>
          </w:p>
        </w:tc>
        <w:tc>
          <w:tcPr>
            <w:tcW w:w="271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Szkło</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10</w:t>
            </w:r>
          </w:p>
        </w:tc>
        <w:tc>
          <w:tcPr>
            <w:tcW w:w="170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74,16</w:t>
            </w:r>
          </w:p>
        </w:tc>
        <w:tc>
          <w:tcPr>
            <w:tcW w:w="225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90</w:t>
            </w:r>
          </w:p>
        </w:tc>
      </w:tr>
      <w:tr>
        <w:trPr>
          <w:trHeight w:val="310" w:hRule="atLeast"/>
        </w:trPr>
        <w:tc>
          <w:tcPr>
            <w:tcW w:w="184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i/>
                <w:color w:val="000000" w:themeColor="text1"/>
                <w:sz w:val="22"/>
              </w:rPr>
              <w:t>2</w:t>
            </w:r>
          </w:p>
        </w:tc>
        <w:tc>
          <w:tcPr>
            <w:tcW w:w="271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Aluminium</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1,39</w:t>
            </w:r>
          </w:p>
        </w:tc>
        <w:tc>
          <w:tcPr>
            <w:tcW w:w="170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10,3</w:t>
            </w:r>
          </w:p>
        </w:tc>
        <w:tc>
          <w:tcPr>
            <w:tcW w:w="225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100</w:t>
            </w:r>
          </w:p>
        </w:tc>
      </w:tr>
      <w:tr>
        <w:trPr>
          <w:trHeight w:val="310" w:hRule="atLeast"/>
        </w:trPr>
        <w:tc>
          <w:tcPr>
            <w:tcW w:w="184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3</w:t>
            </w:r>
          </w:p>
        </w:tc>
        <w:tc>
          <w:tcPr>
            <w:tcW w:w="271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Ogniwa PV</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0,47</w:t>
            </w:r>
          </w:p>
        </w:tc>
        <w:tc>
          <w:tcPr>
            <w:tcW w:w="170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3,48</w:t>
            </w:r>
          </w:p>
        </w:tc>
        <w:tc>
          <w:tcPr>
            <w:tcW w:w="225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90</w:t>
            </w:r>
          </w:p>
        </w:tc>
      </w:tr>
      <w:tr>
        <w:trPr>
          <w:trHeight w:val="310" w:hRule="atLeast"/>
        </w:trPr>
        <w:tc>
          <w:tcPr>
            <w:tcW w:w="184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4</w:t>
            </w:r>
          </w:p>
        </w:tc>
        <w:tc>
          <w:tcPr>
            <w:tcW w:w="271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EVA, Tedlar®</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1,37</w:t>
            </w:r>
          </w:p>
        </w:tc>
        <w:tc>
          <w:tcPr>
            <w:tcW w:w="170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10,15</w:t>
            </w:r>
          </w:p>
        </w:tc>
        <w:tc>
          <w:tcPr>
            <w:tcW w:w="225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w:t>
            </w:r>
          </w:p>
        </w:tc>
      </w:tr>
      <w:tr>
        <w:trPr>
          <w:trHeight w:val="310" w:hRule="atLeast"/>
        </w:trPr>
        <w:tc>
          <w:tcPr>
            <w:tcW w:w="184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5</w:t>
            </w:r>
          </w:p>
        </w:tc>
        <w:tc>
          <w:tcPr>
            <w:tcW w:w="271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Kontakty elektryczne</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0,1</w:t>
            </w:r>
          </w:p>
        </w:tc>
        <w:tc>
          <w:tcPr>
            <w:tcW w:w="170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0,75</w:t>
            </w:r>
          </w:p>
        </w:tc>
        <w:tc>
          <w:tcPr>
            <w:tcW w:w="225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95</w:t>
            </w:r>
          </w:p>
        </w:tc>
      </w:tr>
      <w:tr>
        <w:trPr>
          <w:trHeight w:val="310" w:hRule="atLeast"/>
        </w:trPr>
        <w:tc>
          <w:tcPr>
            <w:tcW w:w="1841"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6</w:t>
            </w:r>
          </w:p>
        </w:tc>
        <w:tc>
          <w:tcPr>
            <w:tcW w:w="271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Substancje spalające</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0,16</w:t>
            </w:r>
          </w:p>
        </w:tc>
        <w:tc>
          <w:tcPr>
            <w:tcW w:w="170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1,16</w:t>
            </w:r>
          </w:p>
        </w:tc>
        <w:tc>
          <w:tcPr>
            <w:tcW w:w="225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4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w:t>
            </w:r>
          </w:p>
        </w:tc>
      </w:tr>
    </w:tbl>
    <w:p>
      <w:pPr>
        <w:pStyle w:val="Normal"/>
        <w:spacing w:lineRule="auto" w:line="240" w:before="0" w:after="0"/>
        <w:ind w:left="0" w:hanging="0"/>
        <w:jc w:val="left"/>
        <w:rPr>
          <w:rFonts w:ascii="Calibri" w:hAnsi="Calibri" w:cs="Calibri" w:asciiTheme="minorHAnsi" w:cstheme="minorHAnsi" w:hAnsiTheme="minorHAnsi"/>
          <w:color w:val="000000" w:themeColor="text1"/>
        </w:rPr>
      </w:pPr>
      <w:r>
        <w:rPr>
          <w:rFonts w:cs="Calibri" w:cstheme="minorHAnsi"/>
          <w:color w:val="000000" w:themeColor="text1"/>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12</w:t>
      </w:r>
      <w:r>
        <w:rPr>
          <w:sz w:val="22"/>
          <w:b w:val="false"/>
          <w:szCs w:val="22"/>
          <w:bCs w:val="false"/>
        </w:rPr>
        <w:fldChar w:fldCharType="end"/>
      </w:r>
      <w:r>
        <w:rPr>
          <w:b w:val="false"/>
          <w:bCs w:val="false"/>
          <w:color w:val="auto"/>
          <w:sz w:val="22"/>
          <w:szCs w:val="22"/>
        </w:rPr>
        <w:t>. Skumulowane zapotrzebowanie energetyczne</w:t>
      </w:r>
    </w:p>
    <w:tbl>
      <w:tblPr>
        <w:tblStyle w:val="TableGrid"/>
        <w:tblW w:w="9929" w:type="dxa"/>
        <w:jc w:val="left"/>
        <w:tblInd w:w="-289" w:type="dxa"/>
        <w:tblCellMar>
          <w:top w:w="30" w:type="dxa"/>
          <w:left w:w="80" w:type="dxa"/>
          <w:bottom w:w="0" w:type="dxa"/>
          <w:right w:w="33" w:type="dxa"/>
        </w:tblCellMar>
        <w:tblLook w:firstRow="1" w:noVBand="1" w:lastRow="0" w:firstColumn="1" w:lastColumn="0" w:noHBand="0" w:val="04a0"/>
      </w:tblPr>
      <w:tblGrid>
        <w:gridCol w:w="1432"/>
        <w:gridCol w:w="3250"/>
        <w:gridCol w:w="1559"/>
        <w:gridCol w:w="1700"/>
        <w:gridCol w:w="1988"/>
      </w:tblGrid>
      <w:tr>
        <w:trPr>
          <w:trHeight w:val="608" w:hRule="atLeast"/>
        </w:trPr>
        <w:tc>
          <w:tcPr>
            <w:tcW w:w="1432"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LP.</w:t>
            </w:r>
          </w:p>
        </w:tc>
        <w:tc>
          <w:tcPr>
            <w:tcW w:w="3250"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RODZAJ ODPADU KRZEMOWEGO</w:t>
            </w:r>
          </w:p>
        </w:tc>
        <w:tc>
          <w:tcPr>
            <w:tcW w:w="1559"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CED [MJ-Eq/t]</w:t>
            </w:r>
          </w:p>
        </w:tc>
        <w:tc>
          <w:tcPr>
            <w:tcW w:w="1700"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WARTOŚĆ</w:t>
            </w:r>
            <w:r>
              <w:rPr>
                <w:rFonts w:cs="Calibri" w:cstheme="minorHAnsi"/>
                <w:color w:val="000000" w:themeColor="text1"/>
                <w:sz w:val="22"/>
              </w:rPr>
              <w:t xml:space="preserve"> </w:t>
            </w:r>
            <w:r>
              <w:rPr>
                <w:rFonts w:cs="Calibri" w:cstheme="minorHAnsi"/>
                <w:b/>
                <w:color w:val="000000" w:themeColor="text1"/>
                <w:sz w:val="22"/>
              </w:rPr>
              <w:t>[%]</w:t>
            </w:r>
          </w:p>
        </w:tc>
        <w:tc>
          <w:tcPr>
            <w:tcW w:w="1988" w:type="dxa"/>
            <w:tcBorders>
              <w:top w:val="single" w:sz="4" w:space="0" w:color="1F3864"/>
              <w:left w:val="single" w:sz="4" w:space="0" w:color="1F3864"/>
              <w:bottom w:val="single" w:sz="4" w:space="0" w:color="1F3864"/>
              <w:right w:val="single" w:sz="4" w:space="0" w:color="1F3864"/>
            </w:tcBorders>
            <w:shd w:color="auto" w:fill="F2F2F2" w:themeFill="background1" w:themeFillShade="f2"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OSZCZĘDNOŚCI</w:t>
            </w:r>
            <w:r>
              <w:rPr>
                <w:rFonts w:cs="Calibri" w:cstheme="minorHAnsi"/>
                <w:color w:val="000000" w:themeColor="text1"/>
                <w:sz w:val="22"/>
              </w:rPr>
              <w:t xml:space="preserve"> </w:t>
            </w:r>
            <w:r>
              <w:rPr>
                <w:rFonts w:cs="Calibri" w:cstheme="minorHAnsi"/>
                <w:b/>
                <w:color w:val="000000" w:themeColor="text1"/>
                <w:sz w:val="22"/>
              </w:rPr>
              <w:t>[%]</w:t>
            </w:r>
          </w:p>
        </w:tc>
      </w:tr>
      <w:tr>
        <w:trPr>
          <w:trHeight w:val="370" w:hRule="atLeast"/>
        </w:trPr>
        <w:tc>
          <w:tcPr>
            <w:tcW w:w="14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1</w:t>
            </w:r>
          </w:p>
        </w:tc>
        <w:tc>
          <w:tcPr>
            <w:tcW w:w="325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Odpad z tygla</w:t>
            </w:r>
          </w:p>
        </w:tc>
        <w:tc>
          <w:tcPr>
            <w:tcW w:w="155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7,957</w:t>
            </w:r>
          </w:p>
        </w:tc>
        <w:tc>
          <w:tcPr>
            <w:tcW w:w="170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1,92</w:t>
            </w:r>
          </w:p>
        </w:tc>
        <w:tc>
          <w:tcPr>
            <w:tcW w:w="19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98,08</w:t>
            </w:r>
          </w:p>
        </w:tc>
      </w:tr>
      <w:tr>
        <w:trPr>
          <w:trHeight w:val="499" w:hRule="atLeast"/>
        </w:trPr>
        <w:tc>
          <w:tcPr>
            <w:tcW w:w="14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2</w:t>
            </w:r>
          </w:p>
        </w:tc>
        <w:tc>
          <w:tcPr>
            <w:tcW w:w="325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Przetworzenie wierzchołków i den</w:t>
            </w:r>
          </w:p>
        </w:tc>
        <w:tc>
          <w:tcPr>
            <w:tcW w:w="155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28,676</w:t>
            </w:r>
          </w:p>
        </w:tc>
        <w:tc>
          <w:tcPr>
            <w:tcW w:w="170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6,91</w:t>
            </w:r>
          </w:p>
        </w:tc>
        <w:tc>
          <w:tcPr>
            <w:tcW w:w="19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93,09</w:t>
            </w:r>
          </w:p>
        </w:tc>
      </w:tr>
      <w:tr>
        <w:trPr>
          <w:trHeight w:val="370" w:hRule="atLeast"/>
        </w:trPr>
        <w:tc>
          <w:tcPr>
            <w:tcW w:w="14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3</w:t>
            </w:r>
          </w:p>
        </w:tc>
        <w:tc>
          <w:tcPr>
            <w:tcW w:w="325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Przetworzenie skrawków</w:t>
            </w:r>
          </w:p>
        </w:tc>
        <w:tc>
          <w:tcPr>
            <w:tcW w:w="155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29,489</w:t>
            </w:r>
          </w:p>
        </w:tc>
        <w:tc>
          <w:tcPr>
            <w:tcW w:w="170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7,11</w:t>
            </w:r>
          </w:p>
        </w:tc>
        <w:tc>
          <w:tcPr>
            <w:tcW w:w="19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92,89</w:t>
            </w:r>
          </w:p>
        </w:tc>
      </w:tr>
      <w:tr>
        <w:trPr>
          <w:trHeight w:val="499" w:hRule="atLeast"/>
        </w:trPr>
        <w:tc>
          <w:tcPr>
            <w:tcW w:w="14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4</w:t>
            </w:r>
          </w:p>
        </w:tc>
        <w:tc>
          <w:tcPr>
            <w:tcW w:w="325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Przetworzenie połamanych ogniw</w:t>
            </w:r>
          </w:p>
        </w:tc>
        <w:tc>
          <w:tcPr>
            <w:tcW w:w="155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73,527</w:t>
            </w:r>
          </w:p>
        </w:tc>
        <w:tc>
          <w:tcPr>
            <w:tcW w:w="170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17,52</w:t>
            </w:r>
          </w:p>
        </w:tc>
        <w:tc>
          <w:tcPr>
            <w:tcW w:w="19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81,558</w:t>
            </w:r>
          </w:p>
        </w:tc>
      </w:tr>
      <w:tr>
        <w:trPr>
          <w:trHeight w:val="370" w:hRule="atLeast"/>
        </w:trPr>
        <w:tc>
          <w:tcPr>
            <w:tcW w:w="14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5</w:t>
            </w:r>
          </w:p>
        </w:tc>
        <w:tc>
          <w:tcPr>
            <w:tcW w:w="325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Przetop krzemu</w:t>
            </w:r>
          </w:p>
        </w:tc>
        <w:tc>
          <w:tcPr>
            <w:tcW w:w="155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245,536</w:t>
            </w:r>
          </w:p>
        </w:tc>
        <w:tc>
          <w:tcPr>
            <w:tcW w:w="170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59,16</w:t>
            </w:r>
          </w:p>
        </w:tc>
        <w:tc>
          <w:tcPr>
            <w:tcW w:w="19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40,84</w:t>
            </w:r>
          </w:p>
        </w:tc>
      </w:tr>
      <w:tr>
        <w:trPr>
          <w:trHeight w:val="368" w:hRule="atLeast"/>
        </w:trPr>
        <w:tc>
          <w:tcPr>
            <w:tcW w:w="1432"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b/>
                <w:color w:val="000000" w:themeColor="text1"/>
                <w:sz w:val="22"/>
              </w:rPr>
              <w:t>6</w:t>
            </w:r>
          </w:p>
        </w:tc>
        <w:tc>
          <w:tcPr>
            <w:tcW w:w="325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Krzem fotowoltaiczny</w:t>
            </w:r>
          </w:p>
        </w:tc>
        <w:tc>
          <w:tcPr>
            <w:tcW w:w="1559"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415,023</w:t>
            </w:r>
          </w:p>
        </w:tc>
        <w:tc>
          <w:tcPr>
            <w:tcW w:w="1700"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100,00</w:t>
            </w:r>
          </w:p>
        </w:tc>
        <w:tc>
          <w:tcPr>
            <w:tcW w:w="1988" w:type="dxa"/>
            <w:tcBorders>
              <w:top w:val="single" w:sz="4" w:space="0" w:color="1F3864"/>
              <w:left w:val="single" w:sz="4" w:space="0" w:color="1F3864"/>
              <w:bottom w:val="single" w:sz="4" w:space="0" w:color="1F3864"/>
              <w:right w:val="single" w:sz="4" w:space="0" w:color="1F3864"/>
            </w:tcBorders>
            <w:shd w:color="auto" w:fill="auto" w:val="clear"/>
            <w:vAlign w:val="center"/>
          </w:tcPr>
          <w:p>
            <w:pPr>
              <w:pStyle w:val="Normal"/>
              <w:spacing w:lineRule="auto" w:line="240" w:before="0" w:after="0"/>
              <w:ind w:left="-80" w:hanging="0"/>
              <w:jc w:val="center"/>
              <w:rPr>
                <w:rFonts w:ascii="Calibri" w:hAnsi="Calibri" w:cs="Calibri" w:asciiTheme="minorHAnsi" w:cstheme="minorHAnsi" w:hAnsiTheme="minorHAnsi"/>
                <w:color w:val="000000" w:themeColor="text1"/>
                <w:sz w:val="22"/>
              </w:rPr>
            </w:pPr>
            <w:r>
              <w:rPr>
                <w:rFonts w:cs="Calibri" w:cstheme="minorHAnsi"/>
                <w:color w:val="000000" w:themeColor="text1"/>
                <w:sz w:val="22"/>
              </w:rPr>
              <w:t>0</w:t>
            </w:r>
          </w:p>
        </w:tc>
      </w:tr>
    </w:tbl>
    <w:p>
      <w:pPr>
        <w:pStyle w:val="NoSpacing"/>
        <w:rPr/>
      </w:pPr>
      <w:r>
        <w:rPr/>
      </w:r>
    </w:p>
    <w:p>
      <w:pPr>
        <w:pStyle w:val="NoSpacing"/>
        <w:rPr/>
      </w:pPr>
      <w:r>
        <w:rPr/>
      </w:r>
    </w:p>
    <w:p>
      <w:pPr>
        <w:pStyle w:val="Nagwek1"/>
        <w:ind w:left="308" w:right="0" w:hanging="10"/>
        <w:rPr/>
      </w:pPr>
      <w:bookmarkStart w:id="30" w:name="_Toc121388982"/>
      <w:r>
        <w:rPr/>
        <w:t>10. Możliwe transgraniczne oddziaływanie na środowisko</w:t>
      </w:r>
      <w:bookmarkEnd w:id="30"/>
      <w:r>
        <w:rPr/>
        <w:t xml:space="preserve"> </w:t>
      </w:r>
    </w:p>
    <w:p>
      <w:pPr>
        <w:pStyle w:val="Normal"/>
        <w:spacing w:lineRule="auto" w:line="24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ind w:left="-284" w:firstLine="582"/>
        <w:rPr>
          <w:rFonts w:ascii="Calibri" w:hAnsi="Calibri" w:cs="Calibri" w:asciiTheme="minorHAnsi" w:cstheme="minorHAnsi" w:hAnsiTheme="minorHAnsi"/>
          <w:szCs w:val="24"/>
        </w:rPr>
      </w:pPr>
      <w:r>
        <w:rPr>
          <w:rFonts w:cs="Calibri" w:cstheme="minorHAnsi"/>
          <w:color w:val="000000" w:themeColor="text1"/>
          <w:szCs w:val="24"/>
        </w:rPr>
        <w:t xml:space="preserve">Przedmiotowa inwestycja nie będzie transgranicznie oddziaływać na środowisko. </w:t>
      </w:r>
      <w:r>
        <w:rPr>
          <w:rFonts w:cs="Calibri" w:cstheme="minorHAnsi"/>
          <w:szCs w:val="24"/>
        </w:rPr>
        <w:t>Mając na uwadze lokalizację inwestycji, charakter wpływu na środowisko oraz brak potencjalnych oddziaływań generowanych przez instalacje fotowoltaiczne, nie przewiduje się możliwości wystąpienia oddziaływań transgranicznych powodowanych przez projektowane przedsięwzięcie na etapach realizacji, eksploatacji jak i ewentualnej likwidacji</w:t>
      </w:r>
    </w:p>
    <w:p>
      <w:pPr>
        <w:pStyle w:val="Nagwek1"/>
        <w:ind w:left="308" w:right="0" w:hanging="10"/>
        <w:rPr>
          <w:highlight w:val="white"/>
        </w:rPr>
      </w:pPr>
      <w:r>
        <w:rPr/>
        <w:br/>
      </w:r>
      <w:bookmarkStart w:id="31" w:name="_Toc121388983"/>
      <w:r>
        <w:rPr>
          <w:shd w:fill="FFFFFF" w:val="clear"/>
        </w:rPr>
        <w:t xml:space="preserve">11. </w:t>
      </w:r>
      <w:r>
        <w:rPr/>
        <w:t>Obszary</w:t>
      </w:r>
      <w:r>
        <w:rPr>
          <w:shd w:fill="FFFFFF" w:val="clear"/>
        </w:rPr>
        <w:t xml:space="preserve"> chronione</w:t>
      </w:r>
      <w:bookmarkEnd w:id="31"/>
    </w:p>
    <w:p>
      <w:pPr>
        <w:pStyle w:val="Normal"/>
        <w:rPr>
          <w:rFonts w:ascii="Calibri" w:hAnsi="Calibri" w:cs="Calibri" w:asciiTheme="minorHAnsi" w:cstheme="minorHAnsi" w:hAnsiTheme="minorHAnsi"/>
        </w:rPr>
      </w:pPr>
      <w:r>
        <w:rPr>
          <w:rFonts w:cs="Calibri" w:cstheme="minorHAnsi"/>
        </w:rPr>
      </w:r>
    </w:p>
    <w:p>
      <w:pPr>
        <w:pStyle w:val="Normal"/>
        <w:spacing w:lineRule="auto" w:line="240"/>
        <w:ind w:left="-284" w:firstLine="568"/>
        <w:rPr>
          <w:rFonts w:ascii="Calibri" w:hAnsi="Calibri" w:cs="Calibri" w:asciiTheme="minorHAnsi" w:cstheme="minorHAnsi" w:hAnsiTheme="minorHAnsi"/>
          <w:color w:val="000000" w:themeColor="text1"/>
          <w:szCs w:val="24"/>
        </w:rPr>
      </w:pPr>
      <w:bookmarkStart w:id="32" w:name="_Hlk24619443"/>
      <w:bookmarkEnd w:id="32"/>
      <w:r>
        <w:rPr>
          <w:rFonts w:cs="Calibri" w:cstheme="minorHAnsi"/>
          <w:color w:val="000000" w:themeColor="text1"/>
          <w:szCs w:val="24"/>
        </w:rPr>
        <w:t xml:space="preserve">Działka, na której jest planowana inwestycja znajduje się poza ważnymi formami ochrony przyrody. Planowana inwestycja nie będzie negatywnie oddziaływać na obszary podlegające ochronie, które zostały określone </w:t>
      </w:r>
      <w:bookmarkStart w:id="33" w:name="_Hlk98413099"/>
      <w:r>
        <w:rPr>
          <w:rFonts w:cs="Calibri" w:cstheme="minorHAnsi"/>
          <w:color w:val="000000" w:themeColor="text1"/>
          <w:szCs w:val="24"/>
        </w:rPr>
        <w:t xml:space="preserve">w ustawie z dnia 16 kwietnia 2004 r. o ochronie przyrody </w:t>
      </w:r>
      <w:bookmarkEnd w:id="33"/>
      <w:r>
        <w:rPr>
          <w:rFonts w:cs="Calibri" w:cstheme="minorHAnsi"/>
          <w:color w:val="000000" w:themeColor="text1"/>
          <w:szCs w:val="24"/>
        </w:rPr>
        <w:t xml:space="preserve">[Dz.U.2022.916]. </w:t>
      </w:r>
    </w:p>
    <w:p>
      <w:pPr>
        <w:pStyle w:val="Normal"/>
        <w:spacing w:lineRule="auto" w:line="240"/>
        <w:ind w:left="-284" w:hanging="0"/>
        <w:rPr/>
      </w:pPr>
      <w:r>
        <w:rPr/>
      </w:r>
      <w:bookmarkStart w:id="34" w:name="_Hlk24619641"/>
      <w:bookmarkStart w:id="35" w:name="_Hlk24619308"/>
      <w:bookmarkStart w:id="36" w:name="_Hlk246194431"/>
      <w:bookmarkStart w:id="37" w:name="_Hlk24619641"/>
      <w:bookmarkStart w:id="38" w:name="_Hlk24619308"/>
      <w:bookmarkStart w:id="39" w:name="_Hlk246194431"/>
      <w:bookmarkEnd w:id="37"/>
      <w:bookmarkEnd w:id="38"/>
      <w:bookmarkEnd w:id="39"/>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Teren przedsięwzięcia zlokalizowany jest poza obszarami chronionego krajobrazu. Najbliższe obszary chronionego krajobrazu przedstawiono w tabeli poniżej. </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rPr>
          <w:b w:val="false"/>
          <w:b w:val="false"/>
          <w:bCs w:val="false"/>
          <w:color w:val="auto"/>
          <w:sz w:val="22"/>
          <w:szCs w:val="22"/>
        </w:rPr>
      </w:pPr>
      <w:r>
        <w:rPr>
          <w:b w:val="false"/>
          <w:bCs w:val="false"/>
          <w:color w:val="auto"/>
          <w:sz w:val="22"/>
          <w:szCs w:val="22"/>
        </w:rPr>
        <w:t>Tab. 13. Najbliższe obszary chronionego krajobrazu w promieniu 30 km w linii prostej od miejsca planowanej inwestycji</w:t>
      </w:r>
    </w:p>
    <w:tbl>
      <w:tblPr>
        <w:tblW w:w="9614"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7866"/>
        <w:gridCol w:w="1747"/>
      </w:tblGrid>
      <w:tr>
        <w:trPr>
          <w:trHeight w:val="367" w:hRule="atLeast"/>
        </w:trPr>
        <w:tc>
          <w:tcPr>
            <w:tcW w:w="9613" w:type="dxa"/>
            <w:gridSpan w:val="2"/>
            <w:tcBorders/>
            <w:shd w:color="auto" w:fill="EEEEEE" w:val="clear"/>
            <w:vAlign w:val="center"/>
          </w:tcPr>
          <w:p>
            <w:pPr>
              <w:pStyle w:val="Normal"/>
              <w:spacing w:lineRule="auto" w:line="240" w:before="0" w:after="5"/>
              <w:rPr>
                <w:rFonts w:ascii="Calibri" w:hAnsi="Calibri" w:cs="Calibri" w:asciiTheme="minorHAnsi" w:cstheme="minorHAnsi" w:hAnsiTheme="minorHAnsi"/>
                <w:b/>
                <w:b/>
                <w:bCs/>
                <w:caps/>
                <w:color w:val="000000" w:themeColor="text1"/>
                <w:szCs w:val="24"/>
              </w:rPr>
            </w:pPr>
            <w:r>
              <w:rPr>
                <w:rFonts w:cs="Calibri" w:cstheme="minorHAnsi"/>
                <w:b/>
                <w:bCs/>
                <w:caps/>
                <w:color w:val="000000" w:themeColor="text1"/>
                <w:szCs w:val="24"/>
              </w:rPr>
              <w:t>OBSZARY CHRONIONEGO KRAJOBRAZU</w:t>
            </w:r>
          </w:p>
        </w:tc>
      </w:tr>
      <w:tr>
        <w:trPr>
          <w:trHeight w:val="367" w:hRule="atLeast"/>
        </w:trPr>
        <w:tc>
          <w:tcPr>
            <w:tcW w:w="786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Nazwa</w:t>
            </w:r>
          </w:p>
        </w:tc>
        <w:tc>
          <w:tcPr>
            <w:tcW w:w="1747"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[km]</w:t>
            </w:r>
          </w:p>
        </w:tc>
      </w:tr>
      <w:tr>
        <w:trPr>
          <w:trHeight w:val="367" w:hRule="atLeast"/>
        </w:trPr>
        <w:tc>
          <w:tcPr>
            <w:tcW w:w="786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Dolina Widawki</w:t>
            </w:r>
          </w:p>
        </w:tc>
        <w:tc>
          <w:tcPr>
            <w:tcW w:w="1747"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5.93</w:t>
            </w:r>
          </w:p>
        </w:tc>
      </w:tr>
      <w:tr>
        <w:trPr>
          <w:trHeight w:val="350" w:hRule="atLeast"/>
        </w:trPr>
        <w:tc>
          <w:tcPr>
            <w:tcW w:w="786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Piliczański Obszar Chronionego Krajobrazu</w:t>
            </w:r>
          </w:p>
        </w:tc>
        <w:tc>
          <w:tcPr>
            <w:tcW w:w="1747"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19.36</w:t>
            </w:r>
          </w:p>
        </w:tc>
      </w:tr>
      <w:tr>
        <w:trPr>
          <w:trHeight w:val="401" w:hRule="atLeast"/>
        </w:trPr>
        <w:tc>
          <w:tcPr>
            <w:tcW w:w="786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Przedborski (łódzkie)</w:t>
            </w:r>
          </w:p>
        </w:tc>
        <w:tc>
          <w:tcPr>
            <w:tcW w:w="1747"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22.83</w:t>
            </w:r>
          </w:p>
        </w:tc>
      </w:tr>
      <w:tr>
        <w:trPr>
          <w:trHeight w:val="350" w:hRule="atLeast"/>
        </w:trPr>
        <w:tc>
          <w:tcPr>
            <w:tcW w:w="786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Przedborski ( świętokrzyskie)</w:t>
            </w:r>
          </w:p>
        </w:tc>
        <w:tc>
          <w:tcPr>
            <w:tcW w:w="1747"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25.86</w:t>
            </w:r>
          </w:p>
        </w:tc>
      </w:tr>
    </w:tbl>
    <w:p>
      <w:pPr>
        <w:pStyle w:val="Normal"/>
        <w:spacing w:lineRule="auto" w:line="24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Teren przedsięwzięcia zlokalizowany jest poza obszarami parków krajobrazowych. Najbliższe obszary parków krajobrazowych przedstawiono w tabeli poniżej.</w:t>
      </w:r>
    </w:p>
    <w:p>
      <w:pPr>
        <w:pStyle w:val="Normal"/>
        <w:spacing w:lineRule="auto" w:line="24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rPr>
          <w:b w:val="false"/>
          <w:b w:val="false"/>
          <w:bCs w:val="false"/>
          <w:color w:val="auto"/>
          <w:sz w:val="22"/>
          <w:szCs w:val="22"/>
        </w:rPr>
      </w:pPr>
      <w:r>
        <w:rPr>
          <w:b w:val="false"/>
          <w:bCs w:val="false"/>
          <w:color w:val="auto"/>
          <w:sz w:val="22"/>
          <w:szCs w:val="22"/>
        </w:rPr>
        <w:t>Tab. 4. Najbliższe parki krajobrazowe w promieniu 30 km w linii prostej od miejsca planowanej inwestycji</w:t>
      </w:r>
    </w:p>
    <w:tbl>
      <w:tblPr>
        <w:tblW w:w="9769"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8646"/>
        <w:gridCol w:w="1122"/>
      </w:tblGrid>
      <w:tr>
        <w:trPr>
          <w:trHeight w:val="349" w:hRule="atLeast"/>
        </w:trPr>
        <w:tc>
          <w:tcPr>
            <w:tcW w:w="9768" w:type="dxa"/>
            <w:gridSpan w:val="2"/>
            <w:tcBorders/>
            <w:shd w:color="auto" w:fill="EEEEEE" w:val="clear"/>
            <w:vAlign w:val="center"/>
          </w:tcPr>
          <w:p>
            <w:pPr>
              <w:pStyle w:val="Normal"/>
              <w:spacing w:lineRule="auto" w:line="240" w:before="0" w:after="5"/>
              <w:rPr>
                <w:rFonts w:ascii="Calibri" w:hAnsi="Calibri" w:cs="Calibri" w:asciiTheme="minorHAnsi" w:cstheme="minorHAnsi" w:hAnsiTheme="minorHAnsi"/>
                <w:b/>
                <w:b/>
                <w:bCs/>
                <w:caps/>
                <w:color w:val="000000" w:themeColor="text1"/>
                <w:szCs w:val="24"/>
              </w:rPr>
            </w:pPr>
            <w:r>
              <w:rPr>
                <w:rFonts w:cs="Calibri" w:cstheme="minorHAnsi"/>
                <w:b/>
                <w:bCs/>
                <w:caps/>
                <w:color w:val="000000" w:themeColor="text1"/>
                <w:szCs w:val="24"/>
              </w:rPr>
              <w:t>PARKI KRAJOBRAZOWE</w:t>
            </w:r>
          </w:p>
        </w:tc>
      </w:tr>
      <w:tr>
        <w:trPr>
          <w:trHeight w:val="349" w:hRule="atLeast"/>
        </w:trPr>
        <w:tc>
          <w:tcPr>
            <w:tcW w:w="864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Nazwa</w:t>
            </w:r>
          </w:p>
        </w:tc>
        <w:tc>
          <w:tcPr>
            <w:tcW w:w="1122"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[km]</w:t>
            </w:r>
          </w:p>
        </w:tc>
      </w:tr>
      <w:tr>
        <w:trPr>
          <w:trHeight w:val="34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Sulejowski Park Krajobrazowy - otulina</w:t>
            </w:r>
          </w:p>
        </w:tc>
        <w:tc>
          <w:tcPr>
            <w:tcW w:w="1122"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10.46</w:t>
            </w:r>
          </w:p>
        </w:tc>
      </w:tr>
      <w:tr>
        <w:trPr>
          <w:trHeight w:val="332"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Sulejowski Park Krajobrazowy</w:t>
            </w:r>
          </w:p>
        </w:tc>
        <w:tc>
          <w:tcPr>
            <w:tcW w:w="1122"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21.36</w:t>
            </w:r>
          </w:p>
        </w:tc>
      </w:tr>
      <w:tr>
        <w:trPr>
          <w:trHeight w:val="34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Przedborski Park Krajobrazowy - otulina</w:t>
            </w:r>
          </w:p>
        </w:tc>
        <w:tc>
          <w:tcPr>
            <w:tcW w:w="1122"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25.86</w:t>
            </w:r>
          </w:p>
        </w:tc>
      </w:tr>
      <w:tr>
        <w:trPr>
          <w:trHeight w:val="34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rPr>
            </w:pPr>
            <w:r>
              <w:rPr>
                <w:rFonts w:cs="Calibri" w:cstheme="minorHAnsi"/>
              </w:rPr>
              <w:t>Przedborski Park Krajobrazowy</w:t>
            </w:r>
          </w:p>
        </w:tc>
        <w:tc>
          <w:tcPr>
            <w:tcW w:w="1122"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rPr>
            </w:pPr>
            <w:r>
              <w:rPr>
                <w:rFonts w:cs="Calibri" w:cstheme="minorHAnsi"/>
              </w:rPr>
              <w:t>26.46</w:t>
            </w:r>
          </w:p>
        </w:tc>
      </w:tr>
    </w:tbl>
    <w:p>
      <w:pPr>
        <w:pStyle w:val="Normal"/>
        <w:spacing w:lineRule="auto" w:line="24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Teren przedsięwzięcia zlokalizowany jest poza obszarami Natura 2000. Najbliższe obszary Natura 2000 przedstawiono w tabeli poniżej.</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rPr>
          <w:b w:val="false"/>
          <w:b w:val="false"/>
          <w:bCs w:val="false"/>
          <w:color w:val="auto"/>
          <w:sz w:val="22"/>
          <w:szCs w:val="22"/>
        </w:rPr>
      </w:pPr>
      <w:r>
        <w:rPr>
          <w:b w:val="false"/>
          <w:bCs w:val="false"/>
          <w:color w:val="auto"/>
          <w:sz w:val="22"/>
          <w:szCs w:val="22"/>
        </w:rPr>
        <w:t>Tab. 15. Najbliższe obszary objęte siecią Natura 2000 w promieniu 30 km w linii prostej od miejsca planowanej inwestycji</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tbl>
      <w:tblPr>
        <w:tblW w:w="9781"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8646"/>
        <w:gridCol w:w="1134"/>
      </w:tblGrid>
      <w:tr>
        <w:trPr>
          <w:trHeight w:val="185" w:hRule="atLeast"/>
        </w:trPr>
        <w:tc>
          <w:tcPr>
            <w:tcW w:w="9780" w:type="dxa"/>
            <w:gridSpan w:val="2"/>
            <w:tcBorders/>
            <w:shd w:color="auto" w:fill="EEEEEE" w:val="clear"/>
            <w:vAlign w:val="center"/>
          </w:tcPr>
          <w:p>
            <w:pPr>
              <w:pStyle w:val="Normal"/>
              <w:widowControl/>
              <w:bidi w:val="0"/>
              <w:spacing w:lineRule="auto" w:line="247" w:before="0" w:after="5"/>
              <w:ind w:left="298" w:hanging="0"/>
              <w:jc w:val="both"/>
              <w:rPr>
                <w:rFonts w:ascii="Calibri" w:hAnsi="Calibri" w:cs="Calibri" w:asciiTheme="minorHAnsi" w:cstheme="minorHAnsi" w:hAnsiTheme="minorHAnsi"/>
                <w:b/>
                <w:b/>
                <w:bCs/>
                <w:caps/>
                <w:color w:val="auto"/>
                <w:szCs w:val="24"/>
              </w:rPr>
            </w:pPr>
            <w:r>
              <w:rPr>
                <w:rFonts w:cs="Calibri" w:cstheme="minorHAnsi"/>
                <w:b/>
                <w:bCs/>
                <w:caps/>
                <w:color w:val="auto"/>
                <w:szCs w:val="24"/>
              </w:rPr>
              <w:t>NATURA 2000 OBSZARY SPECJALNEJ OCHRONY</w:t>
            </w:r>
          </w:p>
        </w:tc>
      </w:tr>
      <w:tr>
        <w:trPr>
          <w:trHeight w:val="185" w:hRule="atLeast"/>
        </w:trPr>
        <w:tc>
          <w:tcPr>
            <w:tcW w:w="864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before="0" w:after="5"/>
              <w:jc w:val="center"/>
              <w:rPr>
                <w:rFonts w:ascii="Calibri" w:hAnsi="Calibri" w:cs="Calibri" w:asciiTheme="minorHAnsi" w:cstheme="minorHAnsi" w:hAnsiTheme="minorHAnsi"/>
                <w:b/>
                <w:b/>
                <w:bCs/>
                <w:color w:val="auto"/>
                <w:szCs w:val="24"/>
              </w:rPr>
            </w:pPr>
            <w:r>
              <w:rPr>
                <w:rFonts w:cs="Calibri" w:cstheme="minorHAnsi"/>
                <w:b/>
                <w:bCs/>
                <w:color w:val="auto"/>
                <w:szCs w:val="24"/>
              </w:rPr>
              <w:t>Nazwa</w:t>
            </w:r>
          </w:p>
        </w:tc>
        <w:tc>
          <w:tcPr>
            <w:tcW w:w="1134"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before="0" w:after="5"/>
              <w:jc w:val="center"/>
              <w:rPr>
                <w:rFonts w:ascii="Calibri" w:hAnsi="Calibri" w:cs="Calibri" w:asciiTheme="minorHAnsi" w:cstheme="minorHAnsi" w:hAnsiTheme="minorHAnsi"/>
                <w:b/>
                <w:b/>
                <w:bCs/>
                <w:color w:val="auto"/>
                <w:szCs w:val="24"/>
              </w:rPr>
            </w:pPr>
            <w:r>
              <w:rPr>
                <w:rFonts w:cs="Calibri" w:cstheme="minorHAnsi"/>
                <w:b/>
                <w:bCs/>
                <w:color w:val="auto"/>
                <w:szCs w:val="24"/>
              </w:rPr>
              <w:t>[km]</w:t>
            </w:r>
          </w:p>
        </w:tc>
      </w:tr>
      <w:tr>
        <w:trPr>
          <w:trHeight w:val="185"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before="0" w:after="5"/>
              <w:jc w:val="left"/>
              <w:rPr>
                <w:rFonts w:ascii="Calibri" w:hAnsi="Calibri" w:cs="Calibri" w:asciiTheme="minorHAnsi" w:cstheme="minorHAnsi" w:hAnsiTheme="minorHAnsi"/>
                <w:color w:val="auto"/>
                <w:szCs w:val="24"/>
              </w:rPr>
            </w:pPr>
            <w:r>
              <w:rPr>
                <w:rFonts w:cs="Calibri" w:cstheme="minorHAnsi"/>
              </w:rPr>
              <w:t>brak</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before="0" w:after="5"/>
              <w:jc w:val="center"/>
              <w:rPr>
                <w:rFonts w:ascii="Calibri" w:hAnsi="Calibri" w:cs="Calibri" w:asciiTheme="minorHAnsi" w:cstheme="minorHAnsi" w:hAnsiTheme="minorHAnsi"/>
                <w:color w:val="auto"/>
                <w:szCs w:val="24"/>
              </w:rPr>
            </w:pPr>
            <w:r>
              <w:rPr>
                <w:rFonts w:cs="Calibri" w:cstheme="minorHAnsi"/>
              </w:rPr>
              <w:t>-</w:t>
            </w:r>
          </w:p>
        </w:tc>
      </w:tr>
    </w:tbl>
    <w:p>
      <w:pPr>
        <w:pStyle w:val="Normal"/>
        <w:spacing w:lineRule="auto" w:line="24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tbl>
      <w:tblPr>
        <w:tblW w:w="9783"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8646"/>
        <w:gridCol w:w="1136"/>
      </w:tblGrid>
      <w:tr>
        <w:trPr>
          <w:trHeight w:val="337" w:hRule="atLeast"/>
        </w:trPr>
        <w:tc>
          <w:tcPr>
            <w:tcW w:w="9782" w:type="dxa"/>
            <w:gridSpan w:val="2"/>
            <w:tcBorders/>
            <w:shd w:color="auto" w:fill="EEEEEE" w:val="clear"/>
            <w:vAlign w:val="center"/>
          </w:tcPr>
          <w:p>
            <w:pPr>
              <w:pStyle w:val="Normal"/>
              <w:spacing w:lineRule="auto" w:line="240" w:before="0" w:after="5"/>
              <w:rPr>
                <w:rFonts w:ascii="Calibri" w:hAnsi="Calibri" w:cs="Calibri" w:asciiTheme="minorHAnsi" w:cstheme="minorHAnsi" w:hAnsiTheme="minorHAnsi"/>
                <w:b/>
                <w:b/>
                <w:bCs/>
                <w:caps/>
                <w:color w:val="000000" w:themeColor="text1"/>
                <w:szCs w:val="24"/>
              </w:rPr>
            </w:pPr>
            <w:r>
              <w:rPr>
                <w:rFonts w:cs="Calibri" w:cstheme="minorHAnsi"/>
                <w:b/>
                <w:bCs/>
                <w:caps/>
                <w:color w:val="000000" w:themeColor="text1"/>
                <w:szCs w:val="24"/>
              </w:rPr>
              <w:t>NATURA 2000 SPECJALNE OBSZARY OCHRONY</w:t>
            </w:r>
          </w:p>
        </w:tc>
      </w:tr>
      <w:tr>
        <w:trPr>
          <w:trHeight w:val="337" w:hRule="atLeast"/>
        </w:trPr>
        <w:tc>
          <w:tcPr>
            <w:tcW w:w="864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Nazwa</w:t>
            </w:r>
          </w:p>
        </w:tc>
        <w:tc>
          <w:tcPr>
            <w:tcW w:w="113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[km]</w:t>
            </w:r>
          </w:p>
        </w:tc>
      </w:tr>
      <w:tr>
        <w:trPr>
          <w:trHeight w:val="337"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Lasy Gorzkowickie PLH100020</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szCs w:val="24"/>
              </w:rPr>
              <w:t>2.14</w:t>
            </w:r>
          </w:p>
        </w:tc>
      </w:tr>
      <w:tr>
        <w:trPr>
          <w:trHeight w:val="321"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Dąbrowy w Marianku PLH100027</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5.48</w:t>
            </w:r>
          </w:p>
        </w:tc>
      </w:tr>
      <w:tr>
        <w:trPr>
          <w:trHeight w:val="337"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Łąka w Bęczkowicach PLH100031</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7.66</w:t>
            </w:r>
          </w:p>
        </w:tc>
      </w:tr>
      <w:tr>
        <w:trPr>
          <w:trHeight w:val="321"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Wielkopole – Jodły pod Czartornią PLH100031</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18.17</w:t>
            </w:r>
          </w:p>
        </w:tc>
      </w:tr>
      <w:tr>
        <w:trPr>
          <w:trHeight w:val="337"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Cisy w jasieniu PLH10018</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21.49</w:t>
            </w:r>
          </w:p>
        </w:tc>
      </w:tr>
      <w:tr>
        <w:trPr>
          <w:trHeight w:val="337"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Dolina Środkowej Pilicy PLH100008</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21.57</w:t>
            </w:r>
          </w:p>
        </w:tc>
      </w:tr>
      <w:tr>
        <w:trPr>
          <w:trHeight w:val="321"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Dolina Górnej Pilicy PLH260018</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22.60</w:t>
            </w:r>
          </w:p>
        </w:tc>
      </w:tr>
      <w:tr>
        <w:trPr>
          <w:trHeight w:val="321"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rPr>
            </w:pPr>
            <w:r>
              <w:rPr>
                <w:rFonts w:cs="Calibri" w:cstheme="minorHAnsi"/>
              </w:rPr>
              <w:t>Dolina Czarnej PLH260015</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rPr>
            </w:pPr>
            <w:r>
              <w:rPr>
                <w:rFonts w:cs="Calibri" w:cstheme="minorHAnsi"/>
              </w:rPr>
              <w:t>25.70</w:t>
            </w:r>
          </w:p>
        </w:tc>
      </w:tr>
      <w:tr>
        <w:trPr>
          <w:trHeight w:val="321"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rPr>
            </w:pPr>
            <w:r>
              <w:rPr>
                <w:rFonts w:cs="Calibri" w:cstheme="minorHAnsi"/>
              </w:rPr>
              <w:t>Torfowiska Żytno -  Ewina PLH100030</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rPr>
            </w:pPr>
            <w:r>
              <w:rPr>
                <w:rFonts w:cs="Calibri" w:cstheme="minorHAnsi"/>
              </w:rPr>
              <w:t>26.57</w:t>
            </w:r>
          </w:p>
        </w:tc>
      </w:tr>
      <w:tr>
        <w:trPr>
          <w:trHeight w:val="321"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rPr>
            </w:pPr>
            <w:r>
              <w:rPr>
                <w:rFonts w:cs="Calibri" w:cstheme="minorHAnsi"/>
              </w:rPr>
              <w:t>Ostoja Przedborska PLH260004</w:t>
            </w:r>
          </w:p>
        </w:tc>
        <w:tc>
          <w:tcPr>
            <w:tcW w:w="113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rPr>
            </w:pPr>
            <w:r>
              <w:rPr>
                <w:rFonts w:cs="Calibri" w:cstheme="minorHAnsi"/>
              </w:rPr>
              <w:t>28.38</w:t>
            </w:r>
          </w:p>
        </w:tc>
      </w:tr>
    </w:tbl>
    <w:p>
      <w:pPr>
        <w:pStyle w:val="Normal"/>
        <w:spacing w:lineRule="auto" w:line="240"/>
        <w:ind w:left="0"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Nie przewiduje się jakiegokolwiek negatywnego oddziaływania przedsięwzięcia na wymienione obszary Natura 2000, w związku z czym przedmiotowe przedsięwzięcie nie będzie stanowić zagrożenia dla integralności i spójności oraz prawidłowego funkcjonowania tych obszarów.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53"/>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Teren planowanej inwestycji znajduje się poza obszarem rezerwatów. Najbliższe obszary rezerwatów przedstawiono w tabeli poniżej.</w:t>
      </w:r>
    </w:p>
    <w:p>
      <w:pPr>
        <w:pStyle w:val="Normal"/>
        <w:spacing w:lineRule="auto" w:line="240" w:before="0" w:after="53"/>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rPr>
          <w:b w:val="false"/>
          <w:b w:val="false"/>
          <w:bCs w:val="false"/>
          <w:color w:val="auto"/>
          <w:sz w:val="22"/>
          <w:szCs w:val="22"/>
        </w:rPr>
      </w:pPr>
      <w:r>
        <w:rPr>
          <w:b w:val="false"/>
          <w:bCs w:val="false"/>
          <w:color w:val="auto"/>
          <w:sz w:val="22"/>
          <w:szCs w:val="22"/>
        </w:rPr>
        <w:t>Tab. 16. Najbliższe obszary rezerwatów w promieniu 30 km w linii prostej od miejsca planowanej inwestycji</w:t>
      </w:r>
    </w:p>
    <w:tbl>
      <w:tblPr>
        <w:tblW w:w="9781"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8646"/>
        <w:gridCol w:w="1134"/>
      </w:tblGrid>
      <w:tr>
        <w:trPr>
          <w:trHeight w:val="308" w:hRule="atLeast"/>
        </w:trPr>
        <w:tc>
          <w:tcPr>
            <w:tcW w:w="9780" w:type="dxa"/>
            <w:gridSpan w:val="2"/>
            <w:tcBorders/>
            <w:shd w:color="auto" w:fill="EEEEEE" w:val="clear"/>
            <w:vAlign w:val="center"/>
          </w:tcPr>
          <w:p>
            <w:pPr>
              <w:pStyle w:val="Normal"/>
              <w:spacing w:lineRule="auto" w:line="240" w:before="0" w:after="5"/>
              <w:rPr>
                <w:rFonts w:ascii="Calibri" w:hAnsi="Calibri" w:cs="Calibri" w:asciiTheme="minorHAnsi" w:cstheme="minorHAnsi" w:hAnsiTheme="minorHAnsi"/>
                <w:b/>
                <w:b/>
                <w:bCs/>
                <w:caps/>
                <w:color w:val="000000" w:themeColor="text1"/>
                <w:szCs w:val="24"/>
              </w:rPr>
            </w:pPr>
            <w:r>
              <w:rPr>
                <w:rFonts w:cs="Calibri" w:cstheme="minorHAnsi"/>
                <w:b/>
                <w:bCs/>
                <w:caps/>
                <w:color w:val="000000" w:themeColor="text1"/>
                <w:szCs w:val="24"/>
              </w:rPr>
              <w:t>REZERWATY</w:t>
            </w:r>
          </w:p>
        </w:tc>
      </w:tr>
      <w:tr>
        <w:trPr>
          <w:trHeight w:val="308" w:hRule="atLeast"/>
        </w:trPr>
        <w:tc>
          <w:tcPr>
            <w:tcW w:w="864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Nazwa</w:t>
            </w:r>
          </w:p>
        </w:tc>
        <w:tc>
          <w:tcPr>
            <w:tcW w:w="1134"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[km]</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rPr>
            </w:pPr>
            <w:r>
              <w:rPr>
                <w:rFonts w:cs="Calibri" w:cstheme="minorHAnsi"/>
              </w:rPr>
              <w:t>Góra Chełmo</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17.88</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Wielkopole</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18.17</w:t>
            </w:r>
          </w:p>
        </w:tc>
      </w:tr>
      <w:tr>
        <w:trPr>
          <w:trHeight w:val="308"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Kobiele Wielkie</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18.17</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Jawora</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18.38</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Łuszczanowice</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18.88</w:t>
            </w:r>
          </w:p>
        </w:tc>
      </w:tr>
      <w:tr>
        <w:trPr>
          <w:trHeight w:val="308"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Jasień</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21.49</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Jaksonek</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26.80</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Diabla Góra</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27.85</w:t>
            </w:r>
          </w:p>
        </w:tc>
      </w:tr>
      <w:tr>
        <w:trPr>
          <w:trHeight w:val="308"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Las Jabłoniowy</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28.05</w:t>
            </w:r>
          </w:p>
        </w:tc>
      </w:tr>
      <w:tr>
        <w:trPr>
          <w:trHeight w:val="289"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Bukowa Góra</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29.97</w:t>
            </w:r>
          </w:p>
        </w:tc>
      </w:tr>
    </w:tbl>
    <w:p>
      <w:pPr>
        <w:pStyle w:val="Normal"/>
        <w:spacing w:lineRule="auto" w:line="24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drawing>
          <wp:anchor behindDoc="0" distT="0" distB="0" distL="0" distR="0" simplePos="0" locked="0" layoutInCell="1" allowOverlap="1" relativeHeight="39">
            <wp:simplePos x="0" y="0"/>
            <wp:positionH relativeFrom="column">
              <wp:posOffset>2020570</wp:posOffset>
            </wp:positionH>
            <wp:positionV relativeFrom="paragraph">
              <wp:posOffset>4727575</wp:posOffset>
            </wp:positionV>
            <wp:extent cx="14605" cy="14605"/>
            <wp:effectExtent l="0" t="0" r="0" b="0"/>
            <wp:wrapNone/>
            <wp:docPr id="5" name="Pismo odręczn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smo odręczne 9" descr=""/>
                    <pic:cNvPicPr>
                      <a:picLocks noChangeAspect="1" noChangeArrowheads="1"/>
                    </pic:cNvPicPr>
                  </pic:nvPicPr>
                  <pic:blipFill>
                    <a:blip r:embed="rId4"/>
                    <a:stretch>
                      <a:fillRect/>
                    </a:stretch>
                  </pic:blipFill>
                  <pic:spPr bwMode="auto">
                    <a:xfrm>
                      <a:off x="0" y="0"/>
                      <a:ext cx="14605" cy="14605"/>
                    </a:xfrm>
                    <a:prstGeom prst="rect">
                      <a:avLst/>
                    </a:prstGeom>
                  </pic:spPr>
                </pic:pic>
              </a:graphicData>
            </a:graphic>
          </wp:anchor>
        </w:drawing>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Teren planowanej inwestycji znajduje się poza obszarami parków narodowych. Ponadto,</w:t>
        <w:br/>
        <w:t>w  promieniu 30 km od miejsca planowanej inwestycji nie znajdują się żadne obszary parków narodowych:</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rPr>
          <w:b w:val="false"/>
          <w:b w:val="false"/>
          <w:bCs w:val="false"/>
          <w:color w:val="auto"/>
          <w:sz w:val="22"/>
          <w:szCs w:val="22"/>
        </w:rPr>
      </w:pPr>
      <w:r>
        <w:rPr>
          <w:b w:val="false"/>
          <w:bCs w:val="false"/>
          <w:color w:val="auto"/>
          <w:sz w:val="22"/>
          <w:szCs w:val="22"/>
        </w:rPr>
        <w:t>Tab.17. Najbliższe obszary parków narodowych w promieniu 30 km w linii prostej od miejsca planowanej inwestycji</w:t>
      </w:r>
    </w:p>
    <w:tbl>
      <w:tblPr>
        <w:tblW w:w="9781"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8646"/>
        <w:gridCol w:w="1134"/>
      </w:tblGrid>
      <w:tr>
        <w:trPr>
          <w:trHeight w:val="348" w:hRule="atLeast"/>
        </w:trPr>
        <w:tc>
          <w:tcPr>
            <w:tcW w:w="9780" w:type="dxa"/>
            <w:gridSpan w:val="2"/>
            <w:tcBorders/>
            <w:shd w:color="auto" w:fill="EEEEEE" w:val="clear"/>
            <w:vAlign w:val="center"/>
          </w:tcPr>
          <w:p>
            <w:pPr>
              <w:pStyle w:val="Normal"/>
              <w:spacing w:lineRule="auto" w:line="240" w:before="0" w:after="5"/>
              <w:rPr>
                <w:rFonts w:ascii="Calibri" w:hAnsi="Calibri" w:cs="Calibri" w:asciiTheme="minorHAnsi" w:cstheme="minorHAnsi" w:hAnsiTheme="minorHAnsi"/>
                <w:b/>
                <w:b/>
                <w:bCs/>
                <w:caps/>
                <w:color w:val="000000" w:themeColor="text1"/>
                <w:szCs w:val="24"/>
              </w:rPr>
            </w:pPr>
            <w:r>
              <w:rPr>
                <w:rFonts w:cs="Calibri" w:cstheme="minorHAnsi"/>
                <w:b/>
                <w:bCs/>
                <w:caps/>
                <w:color w:val="000000" w:themeColor="text1"/>
                <w:szCs w:val="24"/>
              </w:rPr>
              <w:t>PARKI NARODOWE</w:t>
            </w:r>
          </w:p>
        </w:tc>
      </w:tr>
      <w:tr>
        <w:trPr>
          <w:trHeight w:val="348" w:hRule="atLeast"/>
        </w:trPr>
        <w:tc>
          <w:tcPr>
            <w:tcW w:w="864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Nazwa</w:t>
            </w:r>
          </w:p>
        </w:tc>
        <w:tc>
          <w:tcPr>
            <w:tcW w:w="1134"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[km]</w:t>
            </w:r>
          </w:p>
        </w:tc>
      </w:tr>
      <w:tr>
        <w:trPr>
          <w:trHeight w:val="348"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vAlign w:val="cente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Brak obszarów</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vAlign w:val="cente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color w:val="000000" w:themeColor="text1"/>
                <w:szCs w:val="24"/>
              </w:rPr>
              <w:t>-</w:t>
            </w:r>
          </w:p>
        </w:tc>
      </w:tr>
    </w:tbl>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Teren planowanej inwestycji znajduje się poza obszarami zespołów przyrodniczo-krajobrazowych. Najbliższe zespoły przyrodniczo-krajobrazowe przedstawiono w tabeli poniżej:</w:t>
      </w:r>
    </w:p>
    <w:p>
      <w:pPr>
        <w:pStyle w:val="Normal"/>
        <w:spacing w:lineRule="auto" w:line="240" w:before="0" w:after="0"/>
        <w:ind w:left="0" w:hanging="0"/>
        <w:rPr>
          <w:rFonts w:ascii="Calibri" w:hAnsi="Calibri" w:cs="Calibri" w:asciiTheme="minorHAnsi" w:cstheme="minorHAnsi" w:hAnsiTheme="minorHAnsi"/>
          <w:color w:val="auto"/>
          <w:sz w:val="22"/>
        </w:rPr>
      </w:pPr>
      <w:r>
        <w:rPr>
          <w:rFonts w:cs="Calibri" w:cstheme="minorHAnsi"/>
          <w:color w:val="auto"/>
          <w:sz w:val="22"/>
        </w:rPr>
      </w:r>
    </w:p>
    <w:p>
      <w:pPr>
        <w:pStyle w:val="Caption"/>
        <w:keepNext w:val="true"/>
        <w:spacing w:before="0" w:after="0"/>
        <w:rPr>
          <w:b w:val="false"/>
          <w:b w:val="false"/>
          <w:bCs w:val="false"/>
          <w:color w:val="auto"/>
          <w:sz w:val="22"/>
          <w:szCs w:val="22"/>
        </w:rPr>
      </w:pPr>
      <w:r>
        <w:rPr>
          <w:b w:val="false"/>
          <w:bCs w:val="false"/>
          <w:color w:val="auto"/>
          <w:sz w:val="22"/>
          <w:szCs w:val="22"/>
        </w:rPr>
        <w:t>Tab.18. Najbliższe zespoły przyrodniczo-krajobrazowe w promieniu 30 km w linii prostej od miejsca planowanej inwestycji</w:t>
      </w:r>
    </w:p>
    <w:tbl>
      <w:tblPr>
        <w:tblW w:w="9781" w:type="dxa"/>
        <w:jc w:val="left"/>
        <w:tblInd w:w="0" w:type="dxa"/>
        <w:shd w:fill="E8E8E8" w:val="clear"/>
        <w:tblCellMar>
          <w:top w:w="48" w:type="dxa"/>
          <w:left w:w="48" w:type="dxa"/>
          <w:bottom w:w="48" w:type="dxa"/>
          <w:right w:w="48" w:type="dxa"/>
        </w:tblCellMar>
        <w:tblLook w:firstRow="1" w:noVBand="1" w:lastRow="0" w:firstColumn="1" w:lastColumn="0" w:noHBand="0" w:val="04a0"/>
      </w:tblPr>
      <w:tblGrid>
        <w:gridCol w:w="8646"/>
        <w:gridCol w:w="1134"/>
      </w:tblGrid>
      <w:tr>
        <w:trPr>
          <w:trHeight w:val="264" w:hRule="atLeast"/>
        </w:trPr>
        <w:tc>
          <w:tcPr>
            <w:tcW w:w="9780" w:type="dxa"/>
            <w:gridSpan w:val="2"/>
            <w:tcBorders/>
            <w:shd w:color="auto" w:fill="EEEEEE" w:val="clear"/>
            <w:vAlign w:val="center"/>
          </w:tcPr>
          <w:p>
            <w:pPr>
              <w:pStyle w:val="Normal"/>
              <w:spacing w:lineRule="auto" w:line="240" w:before="0" w:after="5"/>
              <w:rPr>
                <w:rFonts w:ascii="Calibri" w:hAnsi="Calibri" w:cs="Calibri" w:asciiTheme="minorHAnsi" w:cstheme="minorHAnsi" w:hAnsiTheme="minorHAnsi"/>
                <w:b/>
                <w:b/>
                <w:bCs/>
                <w:caps/>
                <w:color w:val="000000" w:themeColor="text1"/>
                <w:szCs w:val="24"/>
              </w:rPr>
            </w:pPr>
            <w:r>
              <w:rPr>
                <w:rFonts w:cs="Calibri" w:cstheme="minorHAnsi"/>
                <w:b/>
                <w:bCs/>
                <w:caps/>
                <w:color w:val="000000" w:themeColor="text1"/>
                <w:szCs w:val="24"/>
              </w:rPr>
              <w:t>ZESPÓŁY PRZYRODNICZO-KRAJOBRAZOWE</w:t>
            </w:r>
          </w:p>
        </w:tc>
      </w:tr>
      <w:tr>
        <w:trPr>
          <w:trHeight w:val="264" w:hRule="atLeast"/>
        </w:trPr>
        <w:tc>
          <w:tcPr>
            <w:tcW w:w="8646"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Nazwa</w:t>
            </w:r>
          </w:p>
        </w:tc>
        <w:tc>
          <w:tcPr>
            <w:tcW w:w="1134" w:type="dxa"/>
            <w:tcBorders>
              <w:top w:val="single" w:sz="6" w:space="0" w:color="DDDDDD"/>
              <w:left w:val="single" w:sz="6" w:space="0" w:color="DDDDDD"/>
              <w:bottom w:val="single" w:sz="6" w:space="0" w:color="DDDDDD"/>
              <w:right w:val="single" w:sz="6" w:space="0" w:color="DDDDDD"/>
            </w:tcBorders>
            <w:shd w:color="auto" w:fill="EEEEEE" w:val="clear"/>
            <w:vAlign w:val="center"/>
          </w:tcPr>
          <w:p>
            <w:pPr>
              <w:pStyle w:val="Normal"/>
              <w:spacing w:lineRule="auto" w:line="240" w:before="0" w:after="5"/>
              <w:jc w:val="center"/>
              <w:rPr>
                <w:rFonts w:ascii="Calibri" w:hAnsi="Calibri" w:cs="Calibri" w:asciiTheme="minorHAnsi" w:cstheme="minorHAnsi" w:hAnsiTheme="minorHAnsi"/>
                <w:b/>
                <w:b/>
                <w:bCs/>
                <w:color w:val="000000" w:themeColor="text1"/>
                <w:szCs w:val="24"/>
              </w:rPr>
            </w:pPr>
            <w:r>
              <w:rPr>
                <w:rFonts w:cs="Calibri" w:cstheme="minorHAnsi"/>
                <w:b/>
                <w:bCs/>
                <w:color w:val="000000" w:themeColor="text1"/>
                <w:szCs w:val="24"/>
              </w:rPr>
              <w:t>[km]</w:t>
            </w:r>
          </w:p>
        </w:tc>
      </w:tr>
      <w:tr>
        <w:trPr>
          <w:trHeight w:val="264" w:hRule="atLeast"/>
        </w:trPr>
        <w:tc>
          <w:tcPr>
            <w:tcW w:w="8646"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left"/>
              <w:rPr>
                <w:rFonts w:ascii="Calibri" w:hAnsi="Calibri" w:cs="Calibri" w:asciiTheme="minorHAnsi" w:cstheme="minorHAnsi" w:hAnsiTheme="minorHAnsi"/>
                <w:color w:val="000000" w:themeColor="text1"/>
                <w:szCs w:val="24"/>
              </w:rPr>
            </w:pPr>
            <w:r>
              <w:rPr>
                <w:rFonts w:cs="Calibri" w:cstheme="minorHAnsi"/>
              </w:rPr>
              <w:t>Majowa Góra</w:t>
            </w:r>
          </w:p>
        </w:tc>
        <w:tc>
          <w:tcPr>
            <w:tcW w:w="1134" w:type="dxa"/>
            <w:tcBorders>
              <w:top w:val="single" w:sz="6" w:space="0" w:color="DDDDDD"/>
              <w:left w:val="single" w:sz="6" w:space="0" w:color="DDDDDD"/>
              <w:bottom w:val="single" w:sz="6" w:space="0" w:color="DDDDDD"/>
              <w:right w:val="single" w:sz="6" w:space="0" w:color="DDDDDD"/>
            </w:tcBorders>
            <w:shd w:color="auto" w:fill="FFFFFF" w:val="clear"/>
            <w:tcMar>
              <w:top w:w="60" w:type="dxa"/>
              <w:left w:w="60" w:type="dxa"/>
              <w:bottom w:w="60" w:type="dxa"/>
              <w:right w:w="60" w:type="dxa"/>
            </w:tcMar>
          </w:tcPr>
          <w:p>
            <w:pPr>
              <w:pStyle w:val="Normal"/>
              <w:spacing w:lineRule="auto" w:line="240" w:before="0" w:after="5"/>
              <w:jc w:val="right"/>
              <w:rPr>
                <w:rFonts w:ascii="Calibri" w:hAnsi="Calibri" w:cs="Calibri" w:asciiTheme="minorHAnsi" w:cstheme="minorHAnsi" w:hAnsiTheme="minorHAnsi"/>
                <w:color w:val="000000" w:themeColor="text1"/>
                <w:szCs w:val="24"/>
              </w:rPr>
            </w:pPr>
            <w:r>
              <w:rPr>
                <w:rFonts w:cs="Calibri" w:cstheme="minorHAnsi"/>
              </w:rPr>
              <w:t>22.18</w:t>
            </w:r>
          </w:p>
        </w:tc>
      </w:tr>
    </w:tbl>
    <w:p>
      <w:pPr>
        <w:pStyle w:val="Normal"/>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ind w:left="-284" w:firstLine="568"/>
        <w:rPr/>
      </w:pPr>
      <w:r>
        <w:rPr/>
        <w:t>Teren, na którym planuje się budowę farmy fotowoltaicznej nie jest bezpośrednio związany</w:t>
        <w:br/>
        <w:t>z żadną formą ochrony przyrody. Dodatkowo należy podkreślić, że farma fotowoltaiczna oddziałuje wyłącznie na teren, na którym jest posadowiona. Tym samym nie oddziałuje na sąsiednie działki oraz tym bardziej na obszary oddalone o kilkaset metrów. Mając na uwadze fakt, iż farma fotowoltaiczna nie stanowi zagrożenia dla zwierząt i ptaków, nie wywołuje hałasu, nie emituje zanieczyszczeń powietrza oraz nie wytwarza odpadów, a także uwzględniając to, iż elektrownie słoneczne oddziałują wyłącznie na teren, na którym są posadowione można stwierdzić, że farma fotowoltaiczna nie może</w:t>
        <w:br/>
        <w:t>w żaden sposób wpływać na status ochrony wyżej wymienionych form ochrony przyrody.</w:t>
      </w:r>
    </w:p>
    <w:p>
      <w:pPr>
        <w:pStyle w:val="Normal"/>
        <w:ind w:left="-284" w:firstLine="568"/>
        <w:rPr/>
      </w:pPr>
      <w:r>
        <w:rPr/>
        <w:t>Warto również podkreślić, że farmy fotowoltaiczne uznawane są za jedno z najbardziej obiecujących i przyjaznych środowisku źródeł energii. Do ich głównych zalet ze względu na środowisko można zaliczyć fakt, iż energia elektryczna produkowana przez panele fotowoltaiczne wytwarzana jest bezpośrednio z promieni słonecznych, sprawność przetwarzania energii jest taka sama, niezależnie od skali, a energia jest wytwarzana nawet w pochmurne dni przy wykorzystaniu światła rozproszonego. Ponadto obsługa i konserwacja farm fotowoltaicznych wymaga minimalnych nakładów, a w czasie produkcji energii elektrycznej nie powstają szkodliwe gazy cieplarniane. Farmy fotowoltaiczne nie wpływają również na estetykę krajobrazu, jak chociażby farmy wiatrowe.</w:t>
      </w:r>
    </w:p>
    <w:p>
      <w:pPr>
        <w:pStyle w:val="Normal"/>
        <w:ind w:left="-284" w:firstLine="568"/>
        <w:rPr/>
      </w:pPr>
      <w:r>
        <w:rPr/>
        <w:t>Mając na uwadze powyższe można stwierdzić, że planowana inwestycja nie oddziałuje znacząco na obszary podlegające ochronie.</w:t>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284" w:firstLine="568"/>
        <w:rPr/>
      </w:pPr>
      <w:r>
        <w:rPr/>
      </w:r>
    </w:p>
    <w:p>
      <w:pPr>
        <w:pStyle w:val="Normal"/>
        <w:ind w:left="0" w:hanging="0"/>
        <w:rPr>
          <w:rFonts w:ascii="Calibri" w:hAnsi="Calibri" w:cs="Calibri" w:asciiTheme="minorHAnsi" w:cstheme="minorHAnsi" w:hAnsiTheme="minorHAnsi"/>
        </w:rPr>
      </w:pPr>
      <w:r>
        <w:rPr>
          <w:rFonts w:cs="Calibri" w:cstheme="minorHAnsi"/>
        </w:rPr>
      </w:r>
    </w:p>
    <w:p>
      <w:pPr>
        <w:pStyle w:val="Nagwek1"/>
        <w:ind w:left="308" w:right="0" w:hanging="10"/>
        <w:rPr/>
      </w:pPr>
      <w:bookmarkStart w:id="40" w:name="_Toc121388984"/>
      <w:r>
        <w:rPr/>
        <w:t>12. Zanieczyszczenie wód i gruntu</w:t>
      </w:r>
      <w:bookmarkEnd w:id="40"/>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before="0" w:after="0"/>
        <w:ind w:left="-284" w:hanging="0"/>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t>Wody powierzchniowe</w:t>
      </w:r>
    </w:p>
    <w:p>
      <w:pPr>
        <w:pStyle w:val="Normal"/>
        <w:spacing w:lineRule="auto" w:line="240" w:before="0" w:after="0"/>
        <w:ind w:left="-284" w:hanging="0"/>
        <w:rPr>
          <w:rFonts w:ascii="Calibri" w:hAnsi="Calibri" w:cs="Calibri" w:asciiTheme="minorHAnsi" w:cstheme="minorHAnsi" w:hAnsiTheme="minorHAnsi"/>
          <w:b/>
          <w:b/>
          <w:color w:val="000000" w:themeColor="text1"/>
          <w:szCs w:val="24"/>
        </w:rPr>
      </w:pPr>
      <w:r>
        <w:rPr>
          <w:rFonts w:cs="Calibri" w:cstheme="minorHAnsi"/>
          <w:b/>
          <w:color w:val="000000" w:themeColor="text1"/>
          <w:szCs w:val="24"/>
        </w:rPr>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Teren planowanego przedsięwzięcia położony jest w regionie wodnym Środkowej Wisły, w zlewni Pilicy. Wchodzi ona w skład dorzecza rzeki Wisły. Poniżej zamieszczono mapę lokalizacji przedsięwzięcia na tle mapy podziału hydrograficznego.</w:t>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drawing>
          <wp:inline distT="0" distB="0" distL="0" distR="0">
            <wp:extent cx="5164455" cy="3909060"/>
            <wp:effectExtent l="0" t="0" r="0" b="0"/>
            <wp:docPr id="6" name="Obraz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20" descr=""/>
                    <pic:cNvPicPr>
                      <a:picLocks noChangeAspect="1" noChangeArrowheads="1"/>
                    </pic:cNvPicPr>
                  </pic:nvPicPr>
                  <pic:blipFill>
                    <a:blip r:embed="rId5"/>
                    <a:stretch>
                      <a:fillRect/>
                    </a:stretch>
                  </pic:blipFill>
                  <pic:spPr bwMode="auto">
                    <a:xfrm>
                      <a:off x="0" y="0"/>
                      <a:ext cx="5164455" cy="3909060"/>
                    </a:xfrm>
                    <a:prstGeom prst="rect">
                      <a:avLst/>
                    </a:prstGeom>
                  </pic:spPr>
                </pic:pic>
              </a:graphicData>
            </a:graphic>
          </wp:inline>
        </w:drawing>
      </w:r>
    </w:p>
    <w:p>
      <w:pPr>
        <w:pStyle w:val="Normal"/>
        <w:keepNext w:val="true"/>
        <w:spacing w:lineRule="auto" w:line="240" w:before="0" w:after="0"/>
        <w:ind w:left="-284" w:hanging="0"/>
        <w:jc w:val="center"/>
        <w:rPr/>
      </w:pPr>
      <w:r>
        <w:rPr/>
      </w:r>
    </w:p>
    <w:p>
      <w:pPr>
        <w:pStyle w:val="Caption"/>
        <w:jc w:val="center"/>
        <w:rPr>
          <w:b w:val="false"/>
          <w:b w:val="false"/>
          <w:bCs w:val="false"/>
          <w:color w:val="auto"/>
          <w:sz w:val="22"/>
          <w:szCs w:val="22"/>
        </w:rPr>
      </w:pPr>
      <w:r>
        <w:rPr>
          <w:b w:val="false"/>
          <w:bCs w:val="false"/>
          <w:color w:val="auto"/>
          <w:sz w:val="22"/>
          <w:szCs w:val="22"/>
        </w:rPr>
        <w:t xml:space="preserve">Rys. </w:t>
      </w:r>
      <w:r>
        <w:rPr>
          <w:b w:val="false"/>
          <w:bCs w:val="false"/>
          <w:sz w:val="22"/>
          <w:szCs w:val="22"/>
        </w:rPr>
        <w:fldChar w:fldCharType="begin"/>
      </w:r>
      <w:r>
        <w:rPr>
          <w:sz w:val="22"/>
          <w:b w:val="false"/>
          <w:szCs w:val="22"/>
          <w:bCs w:val="false"/>
        </w:rPr>
        <w:instrText> SEQ Rys. \* ARABIC </w:instrText>
      </w:r>
      <w:r>
        <w:rPr>
          <w:sz w:val="22"/>
          <w:b w:val="false"/>
          <w:szCs w:val="22"/>
          <w:bCs w:val="false"/>
        </w:rPr>
        <w:fldChar w:fldCharType="separate"/>
      </w:r>
      <w:r>
        <w:rPr>
          <w:sz w:val="22"/>
          <w:b w:val="false"/>
          <w:szCs w:val="22"/>
          <w:bCs w:val="false"/>
        </w:rPr>
        <w:t>1</w:t>
      </w:r>
      <w:r>
        <w:rPr>
          <w:sz w:val="22"/>
          <w:b w:val="false"/>
          <w:szCs w:val="22"/>
          <w:bCs w:val="false"/>
        </w:rPr>
        <w:fldChar w:fldCharType="end"/>
      </w:r>
      <w:r>
        <w:rPr>
          <w:b w:val="false"/>
          <w:bCs w:val="false"/>
          <w:color w:val="auto"/>
          <w:sz w:val="22"/>
          <w:szCs w:val="22"/>
        </w:rPr>
        <w:t>. Mapa z lokalizacją inwestycji</w:t>
      </w:r>
    </w:p>
    <w:p>
      <w:pPr>
        <w:pStyle w:val="Normal"/>
        <w:rPr>
          <w:lang w:eastAsia="zh-CN"/>
        </w:rPr>
      </w:pPr>
      <w:r>
        <w:rPr>
          <w:lang w:eastAsia="zh-CN"/>
        </w:rPr>
      </w:r>
    </w:p>
    <w:p>
      <w:pPr>
        <w:pStyle w:val="Normal"/>
        <w:tabs>
          <w:tab w:val="clear" w:pos="708"/>
          <w:tab w:val="left" w:pos="9639" w:leader="none"/>
        </w:tabs>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Zgodnie z charakterystyką Jednolitych Części Wód Rzecznych stanowiącą załącznik do Planu gospodarowania wodami na obszarze dorzecza Wisły (Dz U. z 2016 r. poz. 1911) teren razem </w:t>
        <w:br/>
        <w:t>z wymienioną zlewnią wchodzi w skład RW200062545229 o typie 6 – Potok nizinny piaszczysty.</w:t>
      </w:r>
    </w:p>
    <w:p>
      <w:pPr>
        <w:pStyle w:val="Normal"/>
        <w:tabs>
          <w:tab w:val="clear" w:pos="708"/>
          <w:tab w:val="left" w:pos="9639" w:leader="none"/>
        </w:tabs>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Caption"/>
        <w:keepNext w:val="true"/>
        <w:spacing w:before="0" w:after="0"/>
        <w:ind w:left="0" w:hanging="284"/>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13</w:t>
      </w:r>
      <w:r>
        <w:rPr>
          <w:sz w:val="22"/>
          <w:b w:val="false"/>
          <w:szCs w:val="22"/>
          <w:bCs w:val="false"/>
        </w:rPr>
        <w:fldChar w:fldCharType="end"/>
      </w:r>
      <w:r>
        <w:rPr>
          <w:b w:val="false"/>
          <w:bCs w:val="false"/>
          <w:color w:val="auto"/>
          <w:sz w:val="22"/>
          <w:szCs w:val="22"/>
        </w:rPr>
        <w:t>. Przyporządkowanie JCWP do terenu inwestycji</w:t>
      </w:r>
    </w:p>
    <w:tbl>
      <w:tblPr>
        <w:tblStyle w:val="Tabela-Siatka"/>
        <w:tblW w:w="9923" w:type="dxa"/>
        <w:jc w:val="left"/>
        <w:tblInd w:w="-289" w:type="dxa"/>
        <w:tblCellMar>
          <w:top w:w="0" w:type="dxa"/>
          <w:left w:w="5" w:type="dxa"/>
          <w:bottom w:w="0" w:type="dxa"/>
          <w:right w:w="5" w:type="dxa"/>
        </w:tblCellMar>
        <w:tblLook w:firstRow="1" w:noVBand="1" w:lastRow="0" w:firstColumn="1" w:lastColumn="0" w:noHBand="0" w:val="04a0"/>
      </w:tblPr>
      <w:tblGrid>
        <w:gridCol w:w="1983"/>
        <w:gridCol w:w="1276"/>
        <w:gridCol w:w="1559"/>
        <w:gridCol w:w="1132"/>
        <w:gridCol w:w="1416"/>
        <w:gridCol w:w="1276"/>
        <w:gridCol w:w="1280"/>
      </w:tblGrid>
      <w:tr>
        <w:trPr/>
        <w:tc>
          <w:tcPr>
            <w:tcW w:w="9922" w:type="dxa"/>
            <w:gridSpan w:val="7"/>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Jednolita część wód powierzchniowych (JCWP)</w:t>
            </w:r>
          </w:p>
        </w:tc>
      </w:tr>
      <w:tr>
        <w:trPr/>
        <w:tc>
          <w:tcPr>
            <w:tcW w:w="198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Europejski kod JCWP</w:t>
            </w:r>
          </w:p>
        </w:tc>
        <w:tc>
          <w:tcPr>
            <w:tcW w:w="127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Nazwa JCWP</w:t>
            </w:r>
          </w:p>
        </w:tc>
        <w:tc>
          <w:tcPr>
            <w:tcW w:w="155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Region wodny</w:t>
            </w:r>
          </w:p>
        </w:tc>
        <w:tc>
          <w:tcPr>
            <w:tcW w:w="1132"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Obszar Dorzecza</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Regionalny Zarząd Gospodarki Wodnej</w:t>
            </w:r>
          </w:p>
        </w:tc>
        <w:tc>
          <w:tcPr>
            <w:tcW w:w="127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Typ JCWP</w:t>
            </w:r>
          </w:p>
        </w:tc>
        <w:tc>
          <w:tcPr>
            <w:tcW w:w="128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Rodzaj użytkowania JCWP</w:t>
            </w:r>
          </w:p>
        </w:tc>
      </w:tr>
      <w:tr>
        <w:trPr/>
        <w:tc>
          <w:tcPr>
            <w:tcW w:w="198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Cs w:val="24"/>
                <w:lang w:eastAsia="en-US"/>
              </w:rPr>
              <w:t>RW200062545229</w:t>
            </w:r>
          </w:p>
        </w:tc>
        <w:tc>
          <w:tcPr>
            <w:tcW w:w="127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Prudka</w:t>
            </w:r>
          </w:p>
        </w:tc>
        <w:tc>
          <w:tcPr>
            <w:tcW w:w="155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region wodny Środkowej Wisły</w:t>
            </w:r>
          </w:p>
        </w:tc>
        <w:tc>
          <w:tcPr>
            <w:tcW w:w="1132"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obszar dorzecza Wisły</w:t>
            </w:r>
          </w:p>
        </w:tc>
        <w:tc>
          <w:tcPr>
            <w:tcW w:w="141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RZGW Poznań</w:t>
            </w:r>
          </w:p>
        </w:tc>
        <w:tc>
          <w:tcPr>
            <w:tcW w:w="1276"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Potok nizinny piaszczysty [6]</w:t>
            </w:r>
          </w:p>
        </w:tc>
        <w:tc>
          <w:tcPr>
            <w:tcW w:w="1280"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34"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rolna</w:t>
            </w:r>
          </w:p>
        </w:tc>
      </w:tr>
    </w:tbl>
    <w:p>
      <w:pPr>
        <w:pStyle w:val="Normal"/>
        <w:ind w:left="0" w:hanging="0"/>
        <w:rPr>
          <w:lang w:eastAsia="zh-CN"/>
        </w:rPr>
      </w:pPr>
      <w:r>
        <w:rPr>
          <w:lang w:eastAsia="zh-CN"/>
        </w:rPr>
      </w:r>
    </w:p>
    <w:p>
      <w:pPr>
        <w:pStyle w:val="Normal"/>
        <w:rPr>
          <w:lang w:eastAsia="zh-CN"/>
        </w:rPr>
      </w:pPr>
      <w:r>
        <w:rPr>
          <w:lang w:eastAsia="zh-CN"/>
        </w:rPr>
      </w:r>
    </w:p>
    <w:p>
      <w:pPr>
        <w:pStyle w:val="Caption"/>
        <w:keepNext w:val="true"/>
        <w:spacing w:before="0" w:after="0"/>
        <w:rPr>
          <w:b w:val="false"/>
          <w:b w:val="false"/>
          <w:bCs w:val="false"/>
          <w:color w:val="auto"/>
          <w:sz w:val="22"/>
          <w:szCs w:val="22"/>
        </w:rPr>
      </w:pPr>
      <w:r>
        <w:rPr>
          <w:b w:val="false"/>
          <w:bCs w:val="false"/>
          <w:color w:val="auto"/>
          <w:sz w:val="22"/>
          <w:szCs w:val="22"/>
        </w:rPr>
        <w:t xml:space="preserve">Tab. </w:t>
      </w:r>
      <w:r>
        <w:rPr>
          <w:b w:val="false"/>
          <w:bCs w:val="false"/>
          <w:sz w:val="22"/>
          <w:szCs w:val="22"/>
        </w:rPr>
        <w:fldChar w:fldCharType="begin"/>
      </w:r>
      <w:r>
        <w:rPr>
          <w:sz w:val="22"/>
          <w:b w:val="false"/>
          <w:szCs w:val="22"/>
          <w:bCs w:val="false"/>
        </w:rPr>
        <w:instrText> SEQ Tab. \* ARABIC </w:instrText>
      </w:r>
      <w:r>
        <w:rPr>
          <w:sz w:val="22"/>
          <w:b w:val="false"/>
          <w:szCs w:val="22"/>
          <w:bCs w:val="false"/>
        </w:rPr>
        <w:fldChar w:fldCharType="separate"/>
      </w:r>
      <w:r>
        <w:rPr>
          <w:sz w:val="22"/>
          <w:b w:val="false"/>
          <w:szCs w:val="22"/>
          <w:bCs w:val="false"/>
        </w:rPr>
        <w:t>14</w:t>
      </w:r>
      <w:r>
        <w:rPr>
          <w:sz w:val="22"/>
          <w:b w:val="false"/>
          <w:szCs w:val="22"/>
          <w:bCs w:val="false"/>
        </w:rPr>
        <w:fldChar w:fldCharType="end"/>
      </w:r>
      <w:r>
        <w:rPr>
          <w:b w:val="false"/>
          <w:bCs w:val="false"/>
          <w:color w:val="auto"/>
          <w:sz w:val="22"/>
          <w:szCs w:val="22"/>
        </w:rPr>
        <w:t>. Ocena stanu JCWP</w:t>
      </w:r>
    </w:p>
    <w:tbl>
      <w:tblPr>
        <w:tblStyle w:val="Tabela-Siatka"/>
        <w:tblW w:w="9923" w:type="dxa"/>
        <w:jc w:val="left"/>
        <w:tblInd w:w="-289" w:type="dxa"/>
        <w:tblCellMar>
          <w:top w:w="0" w:type="dxa"/>
          <w:left w:w="108" w:type="dxa"/>
          <w:bottom w:w="0" w:type="dxa"/>
          <w:right w:w="108" w:type="dxa"/>
        </w:tblCellMar>
        <w:tblLook w:firstRow="1" w:noVBand="1" w:lastRow="0" w:firstColumn="1" w:lastColumn="0" w:noHBand="0" w:val="04a0"/>
      </w:tblPr>
      <w:tblGrid>
        <w:gridCol w:w="6099"/>
        <w:gridCol w:w="3823"/>
      </w:tblGrid>
      <w:tr>
        <w:trPr/>
        <w:tc>
          <w:tcPr>
            <w:tcW w:w="9922" w:type="dxa"/>
            <w:gridSpan w:val="2"/>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b/>
                <w:b/>
                <w:color w:val="000000" w:themeColor="text1"/>
                <w:sz w:val="22"/>
              </w:rPr>
            </w:pPr>
            <w:r>
              <w:rPr>
                <w:rFonts w:eastAsia="Calibri" w:cs="Calibri" w:cstheme="minorHAnsi" w:eastAsiaTheme="minorHAnsi"/>
                <w:b/>
                <w:color w:val="000000" w:themeColor="text1"/>
                <w:sz w:val="22"/>
                <w:lang w:eastAsia="en-US"/>
              </w:rPr>
              <w:t>Ocena JCWP</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Status</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Naturalna</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Cel dla stanu/potencjału ekologicznego</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Dobry stan ekologiczny</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Cel dla stanu chemicznego</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Dobry stan chemiczny</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Ocena stanu/potencjału ekologicznego</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Słaby</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Ocena stanu chemicznego</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Dobry</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Ogólna ocena stanu JCWP</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Słaby</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Ocena ryzyka nieosiągnięcia celów środowiskowych</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Zagrożona</w:t>
            </w:r>
          </w:p>
        </w:tc>
      </w:tr>
      <w:tr>
        <w:trPr/>
        <w:tc>
          <w:tcPr>
            <w:tcW w:w="6099"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left"/>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Termin osiągnięcia celów środowiskowych</w:t>
            </w:r>
          </w:p>
        </w:tc>
        <w:tc>
          <w:tcPr>
            <w:tcW w:w="3823"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hanging="0"/>
              <w:jc w:val="center"/>
              <w:rPr>
                <w:rFonts w:ascii="Calibri" w:hAnsi="Calibri" w:cs="Calibri" w:asciiTheme="minorHAnsi" w:cstheme="minorHAnsi" w:hAnsiTheme="minorHAnsi"/>
                <w:color w:val="000000" w:themeColor="text1"/>
                <w:sz w:val="22"/>
              </w:rPr>
            </w:pPr>
            <w:r>
              <w:rPr>
                <w:rFonts w:eastAsia="Calibri" w:cs="Calibri" w:cstheme="minorHAnsi" w:eastAsiaTheme="minorHAnsi"/>
                <w:color w:val="000000" w:themeColor="text1"/>
                <w:sz w:val="22"/>
                <w:lang w:eastAsia="en-US"/>
              </w:rPr>
              <w:t>2021</w:t>
            </w:r>
          </w:p>
        </w:tc>
      </w:tr>
    </w:tbl>
    <w:p>
      <w:pPr>
        <w:pStyle w:val="Normal"/>
        <w:spacing w:lineRule="auto" w:line="240"/>
        <w:ind w:left="-284" w:hanging="0"/>
        <w:rPr>
          <w:rFonts w:ascii="Calibri" w:hAnsi="Calibri" w:cs="Calibri" w:asciiTheme="minorHAnsi" w:cstheme="minorHAnsi" w:hAnsiTheme="minorHAnsi"/>
          <w:b/>
          <w:b/>
          <w:color w:val="000000" w:themeColor="text1"/>
          <w:szCs w:val="24"/>
          <w:highlight w:val="yellow"/>
        </w:rPr>
      </w:pPr>
      <w:r>
        <w:rPr>
          <w:rFonts w:cs="Calibri" w:cstheme="minorHAnsi"/>
          <w:b/>
          <w:color w:val="000000" w:themeColor="text1"/>
          <w:szCs w:val="24"/>
          <w:highlight w:val="yellow"/>
        </w:rPr>
      </w:r>
    </w:p>
    <w:p>
      <w:pPr>
        <w:pStyle w:val="Normal"/>
        <w:tabs>
          <w:tab w:val="clear" w:pos="708"/>
          <w:tab w:val="left" w:pos="0" w:leader="none"/>
        </w:tabs>
        <w:overflowPunct w:val="false"/>
        <w:spacing w:lineRule="auto" w:line="240" w:before="0" w:after="0"/>
        <w:ind w:left="-284" w:right="158" w:hanging="0"/>
        <w:textAlignment w:val="baseline"/>
        <w:rPr>
          <w:b/>
          <w:b/>
          <w:bCs/>
          <w:color w:val="auto"/>
        </w:rPr>
      </w:pPr>
      <w:r>
        <w:rPr>
          <w:b/>
          <w:bCs/>
          <w:color w:val="auto"/>
        </w:rPr>
        <w:t>Wody podziemne</w:t>
      </w:r>
    </w:p>
    <w:p>
      <w:pPr>
        <w:pStyle w:val="Normal"/>
        <w:tabs>
          <w:tab w:val="clear" w:pos="708"/>
          <w:tab w:val="left" w:pos="0" w:leader="none"/>
        </w:tabs>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Instalacja fotowoltaiczna o mocy do 8 MW położona będzie na terenie jednolitych część wód podziemnych Nr JCWPd : 83</w:t>
      </w:r>
    </w:p>
    <w:p>
      <w:pPr>
        <w:pStyle w:val="Normal"/>
        <w:tabs>
          <w:tab w:val="clear" w:pos="708"/>
          <w:tab w:val="left" w:pos="0" w:leader="none"/>
        </w:tabs>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Powierzchnia: 2415,8 km</w:t>
      </w:r>
      <w:r>
        <w:rPr>
          <w:rFonts w:cs="Calibri" w:cstheme="minorHAnsi"/>
          <w:color w:val="000000" w:themeColor="text1"/>
          <w:szCs w:val="24"/>
          <w:vertAlign w:val="superscript"/>
        </w:rPr>
        <w:t>2</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Region: Środkowej Wisły</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RZGW we Poznaniu</w:t>
      </w:r>
    </w:p>
    <w:p>
      <w:pPr>
        <w:pStyle w:val="Normal"/>
        <w:spacing w:lineRule="auto" w:line="240"/>
        <w:ind w:left="-284" w:hanging="0"/>
        <w:rPr>
          <w:rFonts w:ascii="Calibri" w:hAnsi="Calibri" w:cs="Calibri" w:asciiTheme="minorHAnsi" w:cstheme="minorHAnsi" w:hAnsiTheme="minorHAnsi"/>
        </w:rPr>
      </w:pPr>
      <w:r>
        <w:rPr>
          <w:rFonts w:cs="Calibri" w:cstheme="minorHAnsi"/>
          <w:color w:val="000000" w:themeColor="text1"/>
          <w:szCs w:val="24"/>
        </w:rPr>
        <w:t xml:space="preserve">Region hydrogeologiczny (Paczyński, 1995): </w:t>
      </w:r>
      <w:r>
        <w:rPr>
          <w:rFonts w:cs="Calibri" w:cstheme="minorHAnsi"/>
        </w:rPr>
        <w:t>VII- łódzki, XII-śląsko-krakowski</w:t>
      </w:r>
    </w:p>
    <w:p>
      <w:pPr>
        <w:pStyle w:val="Normal"/>
        <w:spacing w:lineRule="auto" w:line="240"/>
        <w:ind w:left="-284" w:hanging="0"/>
        <w:rPr>
          <w:rFonts w:ascii="Calibri" w:hAnsi="Calibri" w:cs="Calibri" w:asciiTheme="minorHAnsi" w:cstheme="minorHAnsi" w:hAnsiTheme="minorHAnsi"/>
        </w:rPr>
      </w:pPr>
      <w:r>
        <w:rPr>
          <w:rFonts w:cs="Calibri" w:cstheme="minorHAnsi"/>
        </w:rPr>
      </w:r>
    </w:p>
    <w:p>
      <w:pPr>
        <w:pStyle w:val="Normal"/>
        <w:ind w:left="-284" w:right="158" w:hanging="0"/>
        <w:jc w:val="center"/>
        <w:rPr>
          <w:color w:val="auto"/>
          <w:sz w:val="20"/>
        </w:rPr>
      </w:pPr>
      <w:r>
        <w:rPr/>
        <w:drawing>
          <wp:inline distT="0" distB="0" distL="0" distR="0">
            <wp:extent cx="4143375" cy="3203575"/>
            <wp:effectExtent l="0" t="0" r="0" b="0"/>
            <wp:docPr id="7" name="Obraz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21" descr=""/>
                    <pic:cNvPicPr>
                      <a:picLocks noChangeAspect="1" noChangeArrowheads="1"/>
                    </pic:cNvPicPr>
                  </pic:nvPicPr>
                  <pic:blipFill>
                    <a:blip r:embed="rId6"/>
                    <a:stretch>
                      <a:fillRect/>
                    </a:stretch>
                  </pic:blipFill>
                  <pic:spPr bwMode="auto">
                    <a:xfrm>
                      <a:off x="0" y="0"/>
                      <a:ext cx="4143375" cy="3203575"/>
                    </a:xfrm>
                    <a:prstGeom prst="rect">
                      <a:avLst/>
                    </a:prstGeom>
                  </pic:spPr>
                </pic:pic>
              </a:graphicData>
            </a:graphic>
          </wp:inline>
        </w:drawing>
      </w:r>
    </w:p>
    <w:p>
      <w:pPr>
        <w:pStyle w:val="Normal"/>
        <w:ind w:left="-284" w:right="158" w:hanging="0"/>
        <w:jc w:val="center"/>
        <w:rPr>
          <w:color w:val="auto"/>
          <w:sz w:val="20"/>
        </w:rPr>
      </w:pPr>
      <w:r>
        <w:rPr>
          <w:color w:val="auto"/>
          <w:sz w:val="20"/>
        </w:rPr>
        <w:t>Fot. 13. Mapa z lokalizacją wód podziemnych Nr JCWPd : 83</w:t>
      </w:r>
    </w:p>
    <w:p>
      <w:pPr>
        <w:pStyle w:val="Normal"/>
        <w:ind w:left="-284" w:right="158" w:hanging="0"/>
        <w:jc w:val="center"/>
        <w:rPr>
          <w:color w:val="auto"/>
          <w:sz w:val="20"/>
        </w:rPr>
      </w:pPr>
      <w:r>
        <w:rPr>
          <w:color w:val="auto"/>
          <w:sz w:val="20"/>
        </w:rPr>
      </w:r>
    </w:p>
    <w:p>
      <w:pPr>
        <w:pStyle w:val="Normal"/>
        <w:spacing w:lineRule="auto" w:line="240"/>
        <w:ind w:left="-284" w:firstLine="568"/>
        <w:rPr>
          <w:rFonts w:ascii="Calibri" w:hAnsi="Calibri" w:cs="Calibri" w:asciiTheme="minorHAnsi" w:cstheme="minorHAnsi" w:hAnsiTheme="minorHAnsi"/>
          <w:highlight w:val="yellow"/>
        </w:rPr>
      </w:pPr>
      <w:r>
        <w:rPr/>
        <w:t>Zasilanie wód podziemnych odbywa się w wyniku infiltracji wód opadowych, w granicach poziomu czwartorzędowego oraz na wychodniach poziomów starszych. Granica JCWPd na biegnie wzdłuż działów wód powierzchniowych/podziemnych. Naturalnymi strefami drenażu wewnątrz JCWPd są rzeki i cieki powierzchniowe z tym, że dla głębiej położonych warstw wodonośnych jest to rzeka Warta. Funkcję drenażu pełnią także liczne ujęcia wód podziemnych (wyrobiska górnicze w odkrywkach – największe to kopalnia Bełchatów, studnie wiercone i kopane oraz źródła). Kierunki krążenia wód podziemnych są często skomplikowane, głównie ze względu na tektonikę plikatywną i dysjunktywną, zróżnicowaną litologię i stopień diagenezy warstw wodonośnych, zatem przepuszczalność i zasobność wodną poziomów. Na ogół jednak wody wszystkich pięter/poziomów wodonośnych odpływają do naturalnych stref drenażu. Oddziaływanie ujęć wód podziemnych i odwadnianie wyrobisk zaburza ten kierunek tylko lokalnie na niewielkich obszarach - wtedy tworzą się lokalne leje depresji.</w:t>
      </w:r>
    </w:p>
    <w:p>
      <w:pPr>
        <w:pStyle w:val="Normal"/>
        <w:ind w:left="-284" w:right="158" w:firstLine="992"/>
        <w:rPr>
          <w:color w:val="auto"/>
          <w:highlight w:val="yellow"/>
        </w:rPr>
      </w:pPr>
      <w:r>
        <w:rPr>
          <w:color w:val="auto"/>
          <w:highlight w:val="yellow"/>
        </w:rPr>
      </w:r>
    </w:p>
    <w:tbl>
      <w:tblPr>
        <w:tblStyle w:val="Tabela-Siatka"/>
        <w:tblW w:w="9923" w:type="dxa"/>
        <w:jc w:val="left"/>
        <w:tblInd w:w="-289" w:type="dxa"/>
        <w:tblCellMar>
          <w:top w:w="0" w:type="dxa"/>
          <w:left w:w="108" w:type="dxa"/>
          <w:bottom w:w="0" w:type="dxa"/>
          <w:right w:w="108" w:type="dxa"/>
        </w:tblCellMar>
        <w:tblLook w:firstRow="1" w:noVBand="1" w:lastRow="0" w:firstColumn="1" w:lastColumn="0" w:noHBand="0" w:val="04a0"/>
      </w:tblPr>
      <w:tblGrid>
        <w:gridCol w:w="5674"/>
        <w:gridCol w:w="4248"/>
      </w:tblGrid>
      <w:tr>
        <w:trPr/>
        <w:tc>
          <w:tcPr>
            <w:tcW w:w="9922" w:type="dxa"/>
            <w:gridSpan w:val="2"/>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center"/>
              <w:rPr>
                <w:color w:val="auto"/>
                <w:sz w:val="22"/>
              </w:rPr>
            </w:pPr>
            <w:r>
              <w:rPr>
                <w:rFonts w:eastAsia="Calibri" w:eastAsiaTheme="minorHAnsi"/>
                <w:color w:val="auto"/>
                <w:sz w:val="22"/>
                <w:lang w:eastAsia="en-US"/>
              </w:rPr>
              <w:t>Ocena stanu JCWPd</w:t>
            </w:r>
          </w:p>
        </w:tc>
      </w:tr>
      <w:tr>
        <w:trPr/>
        <w:tc>
          <w:tcPr>
            <w:tcW w:w="567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left"/>
              <w:rPr>
                <w:color w:val="auto"/>
                <w:sz w:val="22"/>
              </w:rPr>
            </w:pPr>
            <w:r>
              <w:rPr>
                <w:rFonts w:eastAsia="Calibri" w:eastAsiaTheme="minorHAnsi"/>
                <w:color w:val="auto"/>
                <w:sz w:val="22"/>
                <w:lang w:eastAsia="en-US"/>
              </w:rPr>
              <w:t>Ocena stanu ilościowego</w:t>
            </w:r>
          </w:p>
        </w:tc>
        <w:tc>
          <w:tcPr>
            <w:tcW w:w="424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center"/>
              <w:rPr>
                <w:color w:val="auto"/>
                <w:sz w:val="22"/>
              </w:rPr>
            </w:pPr>
            <w:r>
              <w:rPr>
                <w:rFonts w:eastAsia="Calibri" w:eastAsiaTheme="minorHAnsi"/>
                <w:color w:val="auto"/>
                <w:sz w:val="22"/>
                <w:lang w:eastAsia="en-US"/>
              </w:rPr>
              <w:t>Słaby</w:t>
            </w:r>
          </w:p>
        </w:tc>
      </w:tr>
      <w:tr>
        <w:trPr/>
        <w:tc>
          <w:tcPr>
            <w:tcW w:w="567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left"/>
              <w:rPr>
                <w:color w:val="auto"/>
                <w:sz w:val="22"/>
              </w:rPr>
            </w:pPr>
            <w:r>
              <w:rPr>
                <w:rFonts w:eastAsia="Calibri" w:eastAsiaTheme="minorHAnsi"/>
                <w:color w:val="auto"/>
                <w:sz w:val="22"/>
                <w:lang w:eastAsia="en-US"/>
              </w:rPr>
              <w:t>Ocena stanu chemicznego</w:t>
            </w:r>
          </w:p>
        </w:tc>
        <w:tc>
          <w:tcPr>
            <w:tcW w:w="424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center"/>
              <w:rPr>
                <w:color w:val="auto"/>
                <w:sz w:val="22"/>
              </w:rPr>
            </w:pPr>
            <w:r>
              <w:rPr>
                <w:rFonts w:eastAsia="Calibri" w:eastAsiaTheme="minorHAnsi"/>
                <w:color w:val="auto"/>
                <w:sz w:val="22"/>
                <w:lang w:eastAsia="en-US"/>
              </w:rPr>
              <w:t>Dobry</w:t>
            </w:r>
          </w:p>
        </w:tc>
      </w:tr>
      <w:tr>
        <w:trPr/>
        <w:tc>
          <w:tcPr>
            <w:tcW w:w="567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left"/>
              <w:rPr>
                <w:color w:val="auto"/>
                <w:sz w:val="22"/>
              </w:rPr>
            </w:pPr>
            <w:r>
              <w:rPr>
                <w:rFonts w:eastAsia="Calibri" w:eastAsiaTheme="minorHAnsi"/>
                <w:color w:val="auto"/>
                <w:sz w:val="22"/>
                <w:lang w:eastAsia="en-US"/>
              </w:rPr>
              <w:t>Ogólna ocena stanu JCWPd</w:t>
            </w:r>
          </w:p>
        </w:tc>
        <w:tc>
          <w:tcPr>
            <w:tcW w:w="424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center"/>
              <w:rPr>
                <w:color w:val="auto"/>
                <w:sz w:val="22"/>
              </w:rPr>
            </w:pPr>
            <w:r>
              <w:rPr>
                <w:rFonts w:eastAsia="Calibri" w:eastAsiaTheme="minorHAnsi"/>
                <w:color w:val="auto"/>
                <w:sz w:val="22"/>
                <w:lang w:eastAsia="en-US"/>
              </w:rPr>
              <w:t>Słaby</w:t>
            </w:r>
          </w:p>
        </w:tc>
      </w:tr>
      <w:tr>
        <w:trPr/>
        <w:tc>
          <w:tcPr>
            <w:tcW w:w="5674"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left"/>
              <w:rPr>
                <w:color w:val="auto"/>
                <w:sz w:val="22"/>
              </w:rPr>
            </w:pPr>
            <w:r>
              <w:rPr>
                <w:rFonts w:eastAsia="Calibri" w:eastAsiaTheme="minorHAnsi"/>
                <w:color w:val="auto"/>
                <w:sz w:val="22"/>
                <w:lang w:eastAsia="en-US"/>
              </w:rPr>
              <w:t>Ocena ryzyka nieosiągnięcia celów środowiskowych</w:t>
            </w:r>
          </w:p>
        </w:tc>
        <w:tc>
          <w:tcPr>
            <w:tcW w:w="4248" w:type="dxa"/>
            <w:tcBorders>
              <w:top w:val="single" w:sz="4" w:space="0" w:color="1F3864"/>
              <w:left w:val="single" w:sz="4" w:space="0" w:color="1F3864"/>
              <w:bottom w:val="single" w:sz="4" w:space="0" w:color="1F3864"/>
              <w:right w:val="single" w:sz="4" w:space="0" w:color="1F3864"/>
            </w:tcBorders>
            <w:shd w:fill="auto" w:val="clear"/>
            <w:vAlign w:val="center"/>
          </w:tcPr>
          <w:p>
            <w:pPr>
              <w:pStyle w:val="Normal"/>
              <w:spacing w:lineRule="auto" w:line="240" w:before="0" w:after="0"/>
              <w:ind w:left="0" w:right="158" w:hanging="0"/>
              <w:jc w:val="center"/>
              <w:rPr>
                <w:color w:val="auto"/>
                <w:sz w:val="22"/>
              </w:rPr>
            </w:pPr>
            <w:r>
              <w:rPr>
                <w:rFonts w:eastAsia="Calibri" w:eastAsiaTheme="minorHAnsi"/>
                <w:color w:val="auto"/>
                <w:sz w:val="22"/>
                <w:lang w:eastAsia="en-US"/>
              </w:rPr>
              <w:t>Zagrożona</w:t>
            </w:r>
          </w:p>
        </w:tc>
      </w:tr>
    </w:tbl>
    <w:p>
      <w:pPr>
        <w:pStyle w:val="Normal"/>
        <w:ind w:left="-284" w:right="158" w:hanging="0"/>
        <w:rPr>
          <w:rFonts w:cs="Times New Roman"/>
          <w:color w:val="auto"/>
          <w:sz w:val="20"/>
        </w:rPr>
      </w:pPr>
      <w:r>
        <w:rPr>
          <w:rFonts w:cs="Times New Roman"/>
          <w:color w:val="auto"/>
          <w:sz w:val="20"/>
        </w:rPr>
        <w:t>Tabela. Ocena stanu JCWPd</w:t>
      </w:r>
    </w:p>
    <w:p>
      <w:pPr>
        <w:pStyle w:val="Normal"/>
        <w:ind w:left="-284" w:right="158" w:hanging="0"/>
        <w:rPr>
          <w:rFonts w:cs="Times New Roman"/>
          <w:color w:val="auto"/>
          <w:sz w:val="20"/>
        </w:rPr>
      </w:pPr>
      <w:r>
        <w:rPr>
          <w:rFonts w:cs="Times New Roman"/>
          <w:color w:val="auto"/>
          <w:sz w:val="20"/>
        </w:rPr>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t>Mając na uwadze powyższe dane:</w:t>
      </w:r>
    </w:p>
    <w:p>
      <w:pPr>
        <w:pStyle w:val="ListParagraph"/>
        <w:numPr>
          <w:ilvl w:val="0"/>
          <w:numId w:val="7"/>
        </w:numPr>
        <w:spacing w:lineRule="auto" w:line="240"/>
        <w:rPr>
          <w:rFonts w:ascii="Calibri" w:hAnsi="Calibri" w:cs="Calibri" w:asciiTheme="minorHAnsi" w:cstheme="minorHAnsi" w:hAnsiTheme="minorHAnsi"/>
          <w:color w:val="000000" w:themeColor="text1"/>
          <w:szCs w:val="24"/>
        </w:rPr>
      </w:pPr>
      <w:r>
        <w:rPr>
          <w:rFonts w:cs="Calibri" w:cstheme="minorHAnsi"/>
          <w:color w:val="000000" w:themeColor="text1"/>
          <w:szCs w:val="24"/>
        </w:rPr>
        <w:t>w trakcie realizacji inwestycji nie będą powstawały ścieki technologiczne,</w:t>
      </w:r>
    </w:p>
    <w:p>
      <w:pPr>
        <w:pStyle w:val="ListParagraph"/>
        <w:numPr>
          <w:ilvl w:val="0"/>
          <w:numId w:val="7"/>
        </w:numPr>
        <w:spacing w:lineRule="auto" w:line="240"/>
        <w:rPr>
          <w:rFonts w:ascii="Calibri" w:hAnsi="Calibri" w:cs="Calibri" w:asciiTheme="minorHAnsi" w:cstheme="minorHAnsi" w:hAnsiTheme="minorHAnsi"/>
          <w:color w:val="000000" w:themeColor="text1"/>
          <w:szCs w:val="24"/>
        </w:rPr>
      </w:pPr>
      <w:r>
        <w:rPr>
          <w:rFonts w:cs="Calibri" w:cstheme="minorHAnsi"/>
          <w:color w:val="000000" w:themeColor="text1"/>
          <w:szCs w:val="24"/>
        </w:rPr>
        <w:t>powstające ścieki bytowe w trakcie realizacji będą przechowywane w zamkniętych pojemnikach przenośnych toalet i przekazywane do utylizacji serwisowi toalet,</w:t>
      </w:r>
    </w:p>
    <w:p>
      <w:pPr>
        <w:pStyle w:val="ListParagraph"/>
        <w:numPr>
          <w:ilvl w:val="0"/>
          <w:numId w:val="7"/>
        </w:numPr>
        <w:spacing w:lineRule="auto" w:line="240"/>
        <w:rPr>
          <w:rFonts w:ascii="Calibri" w:hAnsi="Calibri" w:cs="Calibri" w:asciiTheme="minorHAnsi" w:cstheme="minorHAnsi" w:hAnsiTheme="minorHAnsi"/>
          <w:color w:val="000000" w:themeColor="text1"/>
          <w:szCs w:val="24"/>
        </w:rPr>
      </w:pPr>
      <w:r>
        <w:rPr>
          <w:rFonts w:cs="Calibri" w:cstheme="minorHAnsi"/>
          <w:color w:val="000000" w:themeColor="text1"/>
          <w:szCs w:val="24"/>
        </w:rPr>
        <w:t>wody opadowo-roztopowe będą naturalnie wsiąkać w grunt, kontakt z bezołowiowymi panelami fotowoltaicznymi nie będzie miał wpływu na ich zanieczyszczenie,</w:t>
      </w:r>
    </w:p>
    <w:p>
      <w:pPr>
        <w:pStyle w:val="ListParagraph"/>
        <w:numPr>
          <w:ilvl w:val="0"/>
          <w:numId w:val="7"/>
        </w:numPr>
        <w:spacing w:lineRule="auto" w:line="240"/>
        <w:rPr>
          <w:rFonts w:ascii="Calibri" w:hAnsi="Calibri" w:cs="Calibri" w:asciiTheme="minorHAnsi" w:cstheme="minorHAnsi" w:hAnsiTheme="minorHAnsi"/>
          <w:color w:val="000000" w:themeColor="text1"/>
          <w:szCs w:val="24"/>
        </w:rPr>
      </w:pPr>
      <w:r>
        <w:rPr>
          <w:rFonts w:cs="Calibri" w:cstheme="minorHAnsi"/>
          <w:color w:val="000000" w:themeColor="text1"/>
          <w:szCs w:val="24"/>
        </w:rPr>
        <w:t>nie przewiduje się przechowywania na terenie inwestycji paliw, Inwestor powinien zostać zobowiązany do stosowania sprawnego technicznie sprzętu transportowego celem minimalizacji ryzyka skażenia ropopochodnymi,</w:t>
      </w:r>
    </w:p>
    <w:p>
      <w:pPr>
        <w:pStyle w:val="ListParagraph"/>
        <w:numPr>
          <w:ilvl w:val="0"/>
          <w:numId w:val="7"/>
        </w:numPr>
        <w:spacing w:lineRule="auto" w:line="240"/>
        <w:rPr>
          <w:rFonts w:ascii="Calibri" w:hAnsi="Calibri" w:cs="Calibri" w:asciiTheme="minorHAnsi" w:cstheme="minorHAnsi" w:hAnsiTheme="minorHAnsi"/>
          <w:color w:val="000000" w:themeColor="text1"/>
          <w:szCs w:val="24"/>
        </w:rPr>
      </w:pPr>
      <w:r>
        <w:rPr>
          <w:rFonts w:cs="Calibri" w:cstheme="minorHAnsi"/>
          <w:color w:val="000000" w:themeColor="text1"/>
          <w:szCs w:val="24"/>
        </w:rPr>
        <w:t>w ramach przedsięwzięcia nie przewiduje się przekształcania koryt cieków czy zbiorników wodnych, nie będzie zmieniany przepływ cieków jak również zmiana jakości wód powierzchniowych, przewiduje się zastosowanie bezwodnej technologii oczyszczania paneli</w:t>
        <w:br/>
        <w:t>w związku z czym nie przewiduje się ich oddziaływania na wody powierzchniowe, jak również na pierwszy poziom wód gruntowych.</w:t>
      </w:r>
    </w:p>
    <w:p>
      <w:pPr>
        <w:pStyle w:val="Normal"/>
        <w:spacing w:lineRule="auto" w:line="24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Biorąc pod uwagę powyższe rozważania nie przewiduje się zagrożenia dla celów środowiskowych zdefiniowanych w „Planie gospodarowania wodami na obszarze dorzecza Wisły”. Realizacja planowanego przedsięwzięcia nie wpłynie na ocenę ryzyka osiągnięcia celów środowiskowych dla obszarów JCWP oraz JCWPd.</w:t>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rPr>
          <w:rFonts w:ascii="Calibri" w:hAnsi="Calibri" w:cs="Calibri" w:asciiTheme="minorHAnsi" w:cstheme="minorHAnsi" w:hAnsiTheme="minorHAnsi"/>
          <w:b/>
          <w:b/>
          <w:bCs/>
          <w:iCs/>
          <w:color w:val="000000" w:themeColor="text1"/>
          <w:szCs w:val="24"/>
        </w:rPr>
      </w:pPr>
      <w:r>
        <w:rPr>
          <w:rFonts w:cs="Calibri" w:cstheme="minorHAnsi"/>
          <w:b/>
          <w:bCs/>
          <w:iCs/>
          <w:color w:val="000000" w:themeColor="text1"/>
          <w:szCs w:val="24"/>
        </w:rPr>
        <w:t>Charakterystyka technologii w odniesieniu do oddziaływania na wody podziemne i powierzchniowe</w:t>
      </w:r>
    </w:p>
    <w:p>
      <w:pPr>
        <w:pStyle w:val="Normal"/>
        <w:spacing w:lineRule="auto" w:line="240" w:before="0" w:after="0"/>
        <w:ind w:left="-284" w:hanging="0"/>
        <w:rPr>
          <w:rFonts w:ascii="Calibri" w:hAnsi="Calibri" w:cs="Calibri" w:asciiTheme="minorHAnsi" w:cstheme="minorHAnsi" w:hAnsiTheme="minorHAnsi"/>
          <w:b/>
          <w:b/>
          <w:bCs/>
          <w:iCs/>
          <w:color w:val="000000" w:themeColor="text1"/>
          <w:szCs w:val="24"/>
        </w:rPr>
      </w:pPr>
      <w:r>
        <w:rPr>
          <w:rFonts w:cs="Calibri" w:cstheme="minorHAnsi"/>
          <w:b/>
          <w:bCs/>
          <w:iCs/>
          <w:color w:val="000000" w:themeColor="text1"/>
          <w:szCs w:val="24"/>
        </w:rPr>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bookmarkStart w:id="41" w:name="_Hlk34390324"/>
      <w:r>
        <w:rPr>
          <w:rFonts w:cs="Calibri" w:cstheme="minorHAnsi"/>
          <w:color w:val="000000" w:themeColor="text1"/>
          <w:szCs w:val="24"/>
        </w:rPr>
        <w:t xml:space="preserve">Nie przewiduje się wpływu instalacji na wody gruntowe. Konstrukcje paneli fotowoltaicznych nie będą posiadały fundamentów. Transformatory jak już wcześniej wspomniano będą  umieszczone w stacji kontenerowej. W przypadku zastosowania transformatora olejowego zachowane zostaną środki bezpieczeństwa (szczelna misa olejowa mieszcząca całą objętość zastosowanego oleju </w:t>
      </w:r>
      <w:bookmarkStart w:id="42" w:name="_Hlk55551555"/>
      <w:r>
        <w:rPr>
          <w:rFonts w:cs="Calibri" w:cstheme="minorHAnsi"/>
          <w:color w:val="000000" w:themeColor="text1"/>
          <w:szCs w:val="24"/>
        </w:rPr>
        <w:t>– co najmniej 100% objętości</w:t>
      </w:r>
      <w:bookmarkEnd w:id="42"/>
      <w:r>
        <w:rPr>
          <w:rFonts w:cs="Calibri" w:cstheme="minorHAnsi"/>
          <w:color w:val="000000" w:themeColor="text1"/>
          <w:szCs w:val="24"/>
        </w:rPr>
        <w:t>), które zabezpieczą instalację przed ewentualnym wyciekiem i negatywnymi skutkami. Transformator suchy ogranicza konieczność wykonywania robót ziemnych pod retencję materiałów płynnych. Żywica oraz zastosowane materiały izolacyjne dają transformatorom wysokie parametry samogaszące, natomiast poprzez system chłodzenia powietrzem naturalnym unika się wydostania płynów chłodzących, które mogłyby spowodować zanieczyszczenie środowiska zewnętrznego.</w:t>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rPr>
        <w:t xml:space="preserve">W wyniku funkcjonowania instalacji fotowoltaicznej na żadnym z etapów funkcjonowania inwestycji (budowa, eksploatacja, likwidacja) nie będą powstawały zanieczyszczenia wód i gruntu. W przypadku urządzeń wchodzących w skład przedmiotowej inwestycji, wszystkie z projektowanych elementów wykluczają jakiekolwiek zanieczyszczenie środowiska wodno-gruntowego substancjami ropopochodnymi.  </w:t>
      </w:r>
    </w:p>
    <w:p>
      <w:pPr>
        <w:pStyle w:val="Normal"/>
        <w:spacing w:lineRule="auto" w:line="240" w:before="0" w:after="0"/>
        <w:ind w:left="-284" w:firstLine="568"/>
        <w:rPr>
          <w:rFonts w:ascii="Calibri" w:hAnsi="Calibri" w:cs="Calibri" w:asciiTheme="minorHAnsi" w:cstheme="minorHAnsi" w:hAnsiTheme="minorHAnsi"/>
          <w:color w:val="auto"/>
          <w:szCs w:val="24"/>
        </w:rPr>
      </w:pPr>
      <w:r>
        <w:rPr>
          <w:rFonts w:cs="Calibri" w:cstheme="minorHAnsi"/>
          <w:color w:val="000000" w:themeColor="text1"/>
          <w:szCs w:val="24"/>
        </w:rPr>
        <w:t xml:space="preserve">Wody opadowe z terenów objętych inwestycją będą swobodnie infiltrowały do gleby. Z racji zastosowania paneli bezołowiowych nie wpłyną na zanieczyszczenie wód podziemnych oraz powierzchniowych. </w:t>
      </w:r>
      <w:r>
        <w:rPr>
          <w:rFonts w:cs="Calibri" w:cstheme="minorHAnsi"/>
          <w:color w:val="auto"/>
          <w:szCs w:val="24"/>
        </w:rPr>
        <w:t xml:space="preserve">Mając na uwadze powyższe rozważania nie zostaną spełnione przesłanki z art. 81 ust. 3 Ustawy z dnia 3 października 2008 r. o udostępnianiu informacji o środowisku i jego ochronie, udziale społeczeństwa w ochronie środowiska oraz o ocenach oddziaływania na środowisko </w:t>
      </w:r>
      <w:bookmarkEnd w:id="41"/>
      <w:r>
        <w:rPr>
          <w:rFonts w:cs="Calibri" w:cstheme="minorHAnsi"/>
          <w:color w:val="auto"/>
          <w:szCs w:val="24"/>
        </w:rPr>
        <w:t>(Dz. U. 2022 poz. 1029). Ponadto nie przewiduje się zagrożenia dla celów środowiskowych zdefiniowanych w „Planie gospodarowania wodami na obszarze dorzecza Wisły”.</w:t>
      </w:r>
    </w:p>
    <w:p>
      <w:pPr>
        <w:pStyle w:val="Normal"/>
        <w:spacing w:lineRule="auto" w:line="240" w:before="0" w:after="0"/>
        <w:ind w:left="-284" w:firstLine="568"/>
        <w:rPr>
          <w:rFonts w:ascii="Calibri" w:hAnsi="Calibri" w:cs="Calibri" w:asciiTheme="minorHAnsi" w:cstheme="minorHAnsi" w:hAnsiTheme="minorHAnsi"/>
          <w:color w:val="000000" w:themeColor="text1"/>
        </w:rPr>
      </w:pPr>
      <w:r>
        <w:rPr>
          <w:rFonts w:cs="Calibri" w:cstheme="minorHAnsi"/>
          <w:color w:val="000000" w:themeColor="text1"/>
        </w:rPr>
        <w:t>Zaplecze budowy będzie zabezpieczone przed przedostawaniem się zanieczyszczeń do gruntu</w:t>
        <w:br/>
        <w:t xml:space="preserve">i wód. W tym celu, plac budowy będzie wyposażony w środki służące do neutralizacji rozlanych substancji ropopochodnych, a w przypadku wystąpienia awaryjnego wycieku substancji ropopochodnych i skażenia gruntu, zostanie przeprowadzona, za pośrednictwem wykwalifikowanej firmy, rekultywacja skażonego obszaru za pomocą sorbentów. Grunt po wykonaniu prac zostanie oczyszczony, zaś zebrane zanieczyszczenia zostaną przekazane do utylizacji wyspecjalizowanych firmom. Nie przewiduje się konserwacji urządzeń oraz uzupełniania paliwa na terenie budowy. Podczas realizacji inwestycji będzie używany jedynie sprawny sprzęt.  </w:t>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ind w:left="-340" w:firstLine="360"/>
        <w:rPr>
          <w:rFonts w:cs="Times New Roman"/>
        </w:rPr>
      </w:pPr>
      <w:r>
        <w:rPr>
          <w:rFonts w:cs="Times New Roman"/>
        </w:rPr>
        <w:t xml:space="preserve">Odziaływanie planowanej inwestycji, a także przyszłe prace budowlane na tym terenie zamykają się w obszarze inwestycyjnym dlatego też </w:t>
      </w:r>
      <w:r>
        <w:rPr>
          <w:rFonts w:cs="Times New Roman"/>
          <w:u w:val="single"/>
        </w:rPr>
        <w:t>stosunki wodne na działkach przyległych zostaną niezakłócone</w:t>
      </w:r>
      <w:r>
        <w:rPr>
          <w:rFonts w:cs="Times New Roman"/>
        </w:rPr>
        <w:t>.</w:t>
      </w:r>
    </w:p>
    <w:p>
      <w:pPr>
        <w:pStyle w:val="Normal"/>
        <w:spacing w:lineRule="auto" w:line="240" w:before="240" w:after="0"/>
        <w:ind w:left="0"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agwek1"/>
        <w:ind w:left="0" w:right="0" w:hanging="0"/>
        <w:rPr/>
      </w:pPr>
      <w:bookmarkStart w:id="43" w:name="_Toc121388985"/>
      <w:r>
        <w:rPr/>
        <w:t>13. Oddziaływanie na krajobraz</w:t>
      </w:r>
      <w:bookmarkEnd w:id="43"/>
      <w:r>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rPr>
      </w:pPr>
      <w:r>
        <w:rPr>
          <w:rFonts w:cs="Calibri" w:cstheme="minorHAnsi"/>
          <w:color w:val="000000" w:themeColor="text1"/>
        </w:rPr>
        <w:t xml:space="preserve"> </w:t>
      </w:r>
    </w:p>
    <w:p>
      <w:pPr>
        <w:pStyle w:val="Normal"/>
        <w:spacing w:lineRule="auto" w:line="240" w:before="0" w:after="28"/>
        <w:ind w:left="-284" w:firstLine="568"/>
        <w:rPr>
          <w:rFonts w:ascii="Calibri" w:hAnsi="Calibri" w:cs="Calibri" w:asciiTheme="minorHAnsi" w:cstheme="minorHAnsi" w:hAnsiTheme="minorHAnsi"/>
          <w:szCs w:val="24"/>
        </w:rPr>
      </w:pPr>
      <w:r>
        <w:rPr>
          <w:rFonts w:cs="Calibri" w:cstheme="minorHAnsi"/>
          <w:szCs w:val="24"/>
        </w:rPr>
        <w:t xml:space="preserve">Budowa elektrowni fotowoltaicznej może spowodować niewielkie zmiany dotychczasowego krajobrazu poprzez pojawienie się nowego elementu w przeważającym tu terenie rolniczym. Uwzględniając charakter krajobrazu rolniczego dominującego na tym terenie oraz okresowy charakter prac budowlanych, można wnioskować, że prowadzone działania dotyczące budowy elektrowni fotowoltaicznej nie wpłyną istotnie na pogorszenie funkcjonującego krajobrazu ze stosunkowo intensywna gospodarką rolną prowadzoną na tym obszarze. </w:t>
      </w:r>
    </w:p>
    <w:p>
      <w:pPr>
        <w:pStyle w:val="ListParagraph"/>
        <w:spacing w:lineRule="auto" w:line="240"/>
        <w:ind w:left="-284" w:hanging="0"/>
        <w:rPr>
          <w:rFonts w:ascii="Calibri" w:hAnsi="Calibri" w:cs="Calibri" w:asciiTheme="minorHAnsi" w:cstheme="minorHAnsi" w:hAnsiTheme="minorHAnsi"/>
          <w:color w:val="000000" w:themeColor="text1"/>
        </w:rPr>
      </w:pPr>
      <w:r>
        <w:rPr>
          <w:rFonts w:cs="Calibri" w:cstheme="minorHAnsi"/>
          <w:color w:val="000000" w:themeColor="text1"/>
        </w:rPr>
      </w:r>
    </w:p>
    <w:p>
      <w:pPr>
        <w:pStyle w:val="Normal"/>
        <w:spacing w:lineRule="auto" w:line="240"/>
        <w:ind w:left="-284" w:firstLine="568"/>
        <w:rPr>
          <w:rFonts w:ascii="Calibri" w:hAnsi="Calibri" w:cs="Calibri" w:asciiTheme="minorHAnsi" w:cstheme="minorHAnsi" w:hAnsiTheme="minorHAnsi"/>
          <w:color w:val="000000" w:themeColor="text1"/>
        </w:rPr>
      </w:pPr>
      <w:r>
        <w:rPr>
          <w:rFonts w:cs="Calibri" w:cstheme="minorHAnsi"/>
          <w:color w:val="000000" w:themeColor="text1"/>
        </w:rPr>
        <w:t>Maksymalna wysokość stołów fotowoltaicznych nie powinna przekroczyć 6 m, dzięki czemu zasięg ich widoczności będzie nieznaczny. Dzięki temu elektrownia fotowoltaiczna nie stanowi dominanty w krajobrazie i jej zasięg widoczności jest stosunkowo nieznaczny. Nawet znając lokalizację elektrowni w terenie, trudno jest ją zlokalizować z pewnej odległości z poziomu terenu lub kilku kilometrów. Planowana inwestycja na żadnym z etapów funkcjonowania (budowa, eksploatacja, likwidacja) nie będzie znacząco oddziaływać na faunę i florę terenu, na którym ma być zlokalizowana. Teren planowanej inwestycji stanowi nieużytek rolny porośnięty trawami.</w:t>
      </w:r>
    </w:p>
    <w:p>
      <w:pPr>
        <w:pStyle w:val="Normal"/>
        <w:rPr>
          <w:rFonts w:ascii="Calibri" w:hAnsi="Calibri" w:cs="Calibri" w:asciiTheme="minorHAnsi" w:cstheme="minorHAnsi" w:hAnsiTheme="minorHAnsi"/>
        </w:rPr>
      </w:pPr>
      <w:r>
        <w:rPr>
          <w:rFonts w:cs="Calibri" w:cstheme="minorHAnsi"/>
        </w:rPr>
      </w:r>
    </w:p>
    <w:p>
      <w:pPr>
        <w:pStyle w:val="Nagwek1"/>
        <w:ind w:left="0" w:right="0" w:hanging="0"/>
        <w:rPr/>
      </w:pPr>
      <w:bookmarkStart w:id="44" w:name="_Toc121388986"/>
      <w:r>
        <w:rPr/>
        <w:t>14. Przedsięwzięcia realizowane i zrealizowane, znajdujące się na terenie, na którym planuje się realizację przedsięwzięcia, oraz w obszarze oddziaływania przedsięwzięcia lub których oddziaływania mieszczą się w obszarze oddziaływania planowanego przedsięwzięcia – w zakresie,</w:t>
        <w:br/>
        <w:t>w jakim ich oddziaływania mogą prowadzić do skumulowania oddziaływań z planowanym przedsięwzięciem</w:t>
      </w:r>
      <w:bookmarkEnd w:id="44"/>
    </w:p>
    <w:p>
      <w:pPr>
        <w:pStyle w:val="Normal"/>
        <w:spacing w:lineRule="auto" w:line="240"/>
        <w:ind w:left="-284" w:firstLine="582"/>
        <w:rPr>
          <w:rFonts w:ascii="Calibri" w:hAnsi="Calibri" w:cs="Calibri" w:asciiTheme="minorHAnsi" w:cstheme="minorHAnsi" w:hAnsiTheme="minorHAnsi"/>
          <w:bCs/>
          <w:szCs w:val="24"/>
        </w:rPr>
      </w:pPr>
      <w:r>
        <w:rPr>
          <w:rFonts w:cs="Calibri" w:cstheme="minorHAnsi"/>
          <w:bCs/>
          <w:szCs w:val="24"/>
        </w:rPr>
      </w:r>
    </w:p>
    <w:p>
      <w:pPr>
        <w:pStyle w:val="Normal"/>
        <w:spacing w:lineRule="auto" w:line="240"/>
        <w:ind w:left="-284" w:firstLine="567"/>
        <w:rPr>
          <w:b/>
          <w:b/>
          <w:bCs/>
          <w:color w:val="FF0000"/>
        </w:rPr>
      </w:pPr>
      <w:r>
        <w:rPr>
          <w:bCs/>
          <w:color w:val="auto"/>
          <w:szCs w:val="24"/>
        </w:rPr>
        <w:t xml:space="preserve">Firma Standard Power Development Sp. z o.o.   Sp. k. </w:t>
      </w:r>
      <w:r>
        <w:rPr>
          <w:color w:val="auto"/>
        </w:rPr>
        <w:t xml:space="preserve">w ramach przedmiotowego przedsięwzięcia planuje wykonać instalację fotowoltaiczną o łącznej mocy do 8 MW na działkach o nr ewid. 157, 158/1, 158/2, 159, 160 </w:t>
      </w:r>
      <w:r>
        <w:rPr>
          <w:rFonts w:asciiTheme="minorHAnsi" w:hAnsiTheme="minorHAnsi"/>
          <w:color w:val="auto"/>
        </w:rPr>
        <w:t>w miejscowości Szczukocice, gmina Gorzkowice, powiat piotrowski.</w:t>
      </w:r>
    </w:p>
    <w:p>
      <w:pPr>
        <w:pStyle w:val="Normal"/>
        <w:spacing w:lineRule="auto" w:line="240"/>
        <w:ind w:left="-284" w:firstLine="582"/>
        <w:rPr>
          <w:bCs/>
          <w:color w:val="auto"/>
          <w:szCs w:val="24"/>
        </w:rPr>
      </w:pPr>
      <w:r>
        <w:rPr>
          <w:bCs/>
          <w:color w:val="auto"/>
          <w:szCs w:val="24"/>
        </w:rPr>
        <w:t xml:space="preserve">Na części działek </w:t>
      </w:r>
      <w:r>
        <w:rPr>
          <w:color w:val="auto"/>
        </w:rPr>
        <w:t xml:space="preserve">157, 158/1, 158/2, 159, </w:t>
      </w:r>
      <w:r>
        <w:rPr>
          <w:bCs/>
          <w:color w:val="auto"/>
          <w:szCs w:val="24"/>
        </w:rPr>
        <w:t xml:space="preserve">została wydana już Decyzja o Środowiskowych Uwarunkowaniach, znak: OŚ.6220.4.2020. Nowy wniosek dot. wydania Decyzji o Środowiskowych Uwarunkowaniach złożony jest ze względu na zmiany związane z postępem technologicznym, dzięki któremu z danych jednostkach powierzchni można osiągnąć większą moc instalacji. Zwiększenie mocy łącznej instalacji nie wpłynie na zmianę oddziaływania inwestycji na środowisko. </w:t>
      </w:r>
    </w:p>
    <w:p>
      <w:pPr>
        <w:pStyle w:val="Normal"/>
        <w:spacing w:lineRule="auto" w:line="240"/>
        <w:ind w:left="-284" w:firstLine="582"/>
        <w:rPr>
          <w:bCs/>
          <w:szCs w:val="24"/>
        </w:rPr>
      </w:pPr>
      <w:r>
        <w:rPr>
          <w:bCs/>
          <w:szCs w:val="24"/>
        </w:rPr>
        <w:t>Farma fotowoltaiczna nie wykazuje oddziaływań akustycznych, zapachowych, spalinowych – podczas fazy eksploatacji. Podczas fazy realizacji także nie dojdzie do oddziaływań zapachowych. Oddziaływania akustyczne podczas budowy nie będą uciążliwe dla mieszkańców, ponieważ budowa będzie realizowana w ciągu dnia, w związku z tym</w:t>
      </w:r>
      <w:r>
        <w:rPr>
          <w:color w:val="000000" w:themeColor="text1"/>
        </w:rPr>
        <w:t xml:space="preserve"> zakłócenia te będą krótkotrwałe i ograniczone do godzin dziennych. </w:t>
      </w:r>
      <w:r>
        <w:rPr>
          <w:bCs/>
          <w:szCs w:val="24"/>
        </w:rPr>
        <w:t xml:space="preserve">Odziaływania spalinowe to jedynie spaliny samochodów dostarczających materiały podczas budowy i nie będą one uciążliwe i zauważalne patrząc na pobliską drogę gminną i będą trwać kilka dni. </w:t>
      </w:r>
    </w:p>
    <w:p>
      <w:pPr>
        <w:pStyle w:val="Normal"/>
        <w:spacing w:lineRule="auto" w:line="247"/>
        <w:ind w:left="-284" w:firstLine="568"/>
        <w:rPr>
          <w:color w:val="auto"/>
        </w:rPr>
      </w:pPr>
      <w:r>
        <w:rPr>
          <w:color w:val="auto"/>
        </w:rPr>
        <w:t xml:space="preserve">Podsumowując występowanie instalacji fotowoltaicznych, eksploatacja instalacji lub urządzenia nie przekraczają standardów emisyjnych oraz oddziaływanie instalacji nie powoduje pogorszenia się stanu środowiska w znaczących rozmiarach lub zagrożenia życia lub zdrowia ludzi. </w:t>
      </w:r>
      <w:r>
        <w:rPr>
          <w:color w:val="000000" w:themeColor="text1"/>
        </w:rPr>
        <w:t>Największy przewidywany wpływ inwestycji na przyrodę i środowisko będzie miał miejsce</w:t>
        <w:br/>
        <w:t xml:space="preserve">w okresie realizacji inwestycji, w związku z pracami budowlanymi, a także z pracami ciężkiego sprzętu. Wówczas wystąpi zwiększone natężenie hałasu, nie będzie to jednak powodowało uciążliwości </w:t>
        <w:br/>
        <w:t xml:space="preserve">dla okolicznych mieszkańców. Dodatkowo zakłócenia te będą krótkotrwałe i ograniczone do godzin dziennych. Stwierdza się, że w sąsiedztwie planowanych inwestycji nie występują nieruchomości, których oddziaływanie stwarzałoby możliwość kumulacji oddziaływań z pracą instalacji fotowoltaicznych. </w:t>
      </w:r>
      <w:bookmarkStart w:id="45" w:name="_Hlk94688887"/>
      <w:bookmarkEnd w:id="45"/>
    </w:p>
    <w:p>
      <w:pPr>
        <w:pStyle w:val="Normal"/>
        <w:spacing w:lineRule="auto" w:line="240" w:before="0" w:after="0"/>
        <w:ind w:left="0" w:hanging="0"/>
        <w:rPr>
          <w:bCs/>
          <w:szCs w:val="24"/>
        </w:rPr>
      </w:pPr>
      <w:r>
        <w:rPr>
          <w:bCs/>
          <w:szCs w:val="24"/>
        </w:rPr>
      </w:r>
    </w:p>
    <w:p>
      <w:pPr>
        <w:pStyle w:val="Normal"/>
        <w:spacing w:lineRule="auto" w:line="240"/>
        <w:ind w:left="-284" w:firstLine="568"/>
        <w:rPr>
          <w:szCs w:val="24"/>
        </w:rPr>
      </w:pPr>
      <w:r>
        <w:rPr>
          <w:szCs w:val="24"/>
        </w:rPr>
        <w:t xml:space="preserve"> </w:t>
      </w:r>
      <w:r>
        <w:rPr>
          <w:szCs w:val="24"/>
        </w:rPr>
        <w:t>Na załączniku graficznym dołączonym do KIP przedstawiono obszar oddziaływania inwestycji na środowisko, a  także zaznaczono obszar oddziaływania,  zgodnie z art. 74 ust 3a ustawy z dnia</w:t>
        <w:br/>
        <w:t>3 października 2008 r. o udostępnianiu informacji o środowisku i jego ochronie, udziale społeczeństwa w ochronie środowiska oraz o ocenach oddziaływania na środowisko.</w:t>
      </w:r>
    </w:p>
    <w:p>
      <w:pPr>
        <w:pStyle w:val="Normal"/>
        <w:spacing w:lineRule="auto" w:line="240"/>
        <w:ind w:left="0" w:hanging="0"/>
        <w:rPr>
          <w:rFonts w:ascii="Calibri" w:hAnsi="Calibri" w:cs="Calibri" w:asciiTheme="minorHAnsi" w:cstheme="minorHAnsi" w:hAnsiTheme="minorHAnsi"/>
          <w:color w:val="FF0000"/>
          <w:szCs w:val="24"/>
        </w:rPr>
      </w:pPr>
      <w:r>
        <w:rPr>
          <w:rFonts w:cs="Calibri" w:cstheme="minorHAnsi"/>
          <w:color w:val="FF0000"/>
          <w:szCs w:val="24"/>
        </w:rPr>
      </w:r>
    </w:p>
    <w:p>
      <w:pPr>
        <w:pStyle w:val="Normal"/>
        <w:spacing w:lineRule="auto" w:line="240"/>
        <w:ind w:left="0" w:hanging="0"/>
        <w:rPr>
          <w:rFonts w:ascii="Calibri" w:hAnsi="Calibri" w:cs="Calibri" w:asciiTheme="minorHAnsi" w:cstheme="minorHAnsi" w:hAnsiTheme="minorHAnsi"/>
          <w:color w:val="FF0000"/>
          <w:szCs w:val="24"/>
        </w:rPr>
      </w:pPr>
      <w:r>
        <w:rPr>
          <w:rFonts w:cs="Calibri" w:cstheme="minorHAnsi"/>
          <w:color w:val="FF0000"/>
          <w:szCs w:val="24"/>
        </w:rPr>
      </w:r>
    </w:p>
    <w:p>
      <w:pPr>
        <w:pStyle w:val="Nagwek1"/>
        <w:ind w:left="851" w:right="0" w:hanging="553"/>
        <w:rPr>
          <w:highlight w:val="white"/>
        </w:rPr>
      </w:pPr>
      <w:bookmarkStart w:id="46" w:name="_Toc121388987"/>
      <w:r>
        <w:rPr>
          <w:shd w:fill="FFFFFF" w:val="clear"/>
        </w:rPr>
        <w:t>15. Ryzyko wystąpienia poważnej awarii lub katastrofy naturalnej</w:t>
        <w:br/>
        <w:t xml:space="preserve">i </w:t>
      </w:r>
      <w:r>
        <w:rPr/>
        <w:t>budowlanej</w:t>
      </w:r>
      <w:bookmarkEnd w:id="46"/>
    </w:p>
    <w:p>
      <w:pPr>
        <w:pStyle w:val="NoSpacing"/>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ind w:left="-284" w:firstLine="568"/>
        <w:rPr>
          <w:rFonts w:ascii="Calibri" w:hAnsi="Calibri" w:cs="Calibri" w:asciiTheme="minorHAnsi" w:cstheme="minorHAnsi" w:hAnsiTheme="minorHAnsi"/>
          <w:szCs w:val="24"/>
        </w:rPr>
      </w:pPr>
      <w:r>
        <w:rPr>
          <w:rFonts w:cs="Calibri" w:cstheme="minorHAnsi"/>
          <w:bCs/>
          <w:szCs w:val="24"/>
        </w:rPr>
        <w:t>Według przepisów ustawy Prawo ochrony środowiska poważana awaria to zdarzenie,</w:t>
        <w:br/>
        <w:t xml:space="preserve">w szczególności emisja, pożar lub eksplozja, powstałe w trakcie procesu przemysłowego, magazynowania lub transportu, który prowadzi do powstania zagrożenia życia lub zdrowia ludzi lub środowiska albo powstania takiego zagrożenia z opóźnieniem. </w:t>
      </w:r>
      <w:r>
        <w:rPr>
          <w:rFonts w:cs="Calibri" w:cstheme="minorHAnsi"/>
          <w:szCs w:val="24"/>
        </w:rPr>
        <w:t>Normalna eksploatacja farmy fotowoltaicznej nie niesie za sobą zagrożenia wystąpienia poważnej awarii w rozumieniu ustawy Prawo ochrony środowiska, rodzaj i ilość substancji niebezpiecznych znajdujących się na terenie farmy, nie spowoduje jej zakwalifikowania do zakładów o dużym lub zwiększonym ryzyku wystąpienia poważnej awarii przemysłowej. Na obszarze lokalizacji przedsięwzięcia nie występuje zagrożenie wystąpienia katastrof naturalnych. Nie jest położony w strefie zagrożonej możliwością wystąpienia usuwisk, ruchów skorupy ziemskiej, występowania porywistych wiatrów itp. Jedynym elementem na terenie farmy fotowoltaicznej, który może ulec spaleniu jest transformator, znajduje się on jednak w betonowym obiekcie budowlanym, co gwarantuje brak możliwości dalszego przeniesienia ognia. Dodatkowo pozostałe elementy farmy fotowoltaicznej wykonane są z materiałów całkowicie niepalnych (metale oraz szkło). Farma fotowoltaiczna została zaprojektowana z uwzględnieniem możliwości wystąpienia gwałtownych zjawisk atmosferycznych towarzyszącym obserwowanym obecnie i przewidywanym</w:t>
        <w:br/>
        <w:t>w przyszłości zmianom klimatu. Jednakże nawet w przypadku wystąpienia nieprzewidywalnej obecnie destrukcji struktury farmy fotowoltaicznej, jedyną substancją mogącą stanowić zagrożenie dla środowiska, jest olej stosowany w transformatorze. Jednakże również w tym przypadku przewidziano środki zabezpieczające – dno komory transformatora wykonane jest jako szczelne mogące pomieścić całość oleju znajdującego się w transformatorze. Procesowi budowy farmy fotowoltaicznej nie towarzyszy zagrożenie możliwości wystąpienia katastrofy budowlanej. Infrastruktura farmy jest dostarczana w większości w postaci prefabrykowanej i montowana za pomocą prostych narzędzi ręcznych. Natura wykonywanych prac budowlanych nie niesie zagrożenia dla terenów sąsiednich, nawet w przypadku zaistnienia błędu ludzkiego, nieprawidłowego montażu urządzeń, bądź uszkodzenia elementów farmy. Prace wykonywane są na poziomie gruntu, bez wykorzystania ciężkiego sprzętu i nie stwarzają zagrożenia nawet dla osób je wykonujących przy zastosowaniu się do podstawowych zasad BHP. Po wybudowaniu farma fotowoltaiczna będzie obiektem prostym</w:t>
        <w:br/>
        <w:t>w konstrukcji i obsłudze. W przypadku uszkodzenia poszczególnych elementów farmy będą one podlegały łatwej i prostej wymianie. Wszelkie możliwe awarie mogą mieć jedynie charakter usterki technicznej, które nie stanowią zagrożenia dla trwałości elementów konstrukcyjnych farmy</w:t>
      </w:r>
    </w:p>
    <w:p>
      <w:pPr>
        <w:pStyle w:val="Normal"/>
        <w:ind w:left="-284" w:firstLine="568"/>
        <w:rPr>
          <w:rFonts w:ascii="Calibri" w:hAnsi="Calibri" w:cs="Calibri" w:asciiTheme="minorHAnsi" w:cstheme="minorHAnsi" w:hAnsiTheme="minorHAnsi"/>
          <w:szCs w:val="24"/>
        </w:rPr>
      </w:pPr>
      <w:r>
        <w:rPr>
          <w:rFonts w:cs="Calibri" w:cstheme="minorHAnsi"/>
          <w:szCs w:val="24"/>
        </w:rPr>
      </w:r>
    </w:p>
    <w:p>
      <w:pPr>
        <w:pStyle w:val="Default"/>
        <w:ind w:left="-284" w:firstLine="568"/>
        <w:jc w:val="both"/>
        <w:rPr>
          <w:rFonts w:ascii="Calibri" w:hAnsi="Calibri" w:cs="Calibri" w:asciiTheme="minorHAnsi" w:cstheme="minorHAnsi" w:hAnsiTheme="minorHAnsi"/>
        </w:rPr>
      </w:pPr>
      <w:r>
        <w:rPr>
          <w:rFonts w:cs="Calibri" w:cstheme="minorHAnsi"/>
        </w:rPr>
        <w:t xml:space="preserve">Projektując przedmiotową instalację uwzględniono możliwości wystąpienia ekstremalnych zjawisk klimatycznych takich jak m.in.: </w:t>
      </w:r>
    </w:p>
    <w:p>
      <w:pPr>
        <w:pStyle w:val="Default"/>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ekstremalne opady, zalewanie przez rzeki i gwałtowne powodzie: planowana inwestycja będzie odporna na wystąpienie ulewnych deszczy, co wynika m.in. z braku całkowitego uszczelnienia powierzchni gruntu (brak dróg i placów manewrowych wykonany ograniczających przepuszczalność gruntu) oraz pokrycia powierzchni terenu naturalną roślinnością, nie ograniczającą możliwości absorpcji wody przez grunt, co w konsekwencji nie wpłynie na konieczność budowy zorganizowanego systemu odprowadzania wód opadowych. Budowa przedsięwzięcia nie będzie wpływała na zalewanie terenów sąsiednich. </w:t>
      </w:r>
    </w:p>
    <w:p>
      <w:pPr>
        <w:pStyle w:val="Default"/>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susze wywołane zmianami w strukturze opadów: funkcjonowanie elektrowni fotowoltaicznej nie wymaga zapotrzebowania na wodę, w związku z powyższym nie jest w żaden sposób wrażliwe na długie okresy suszy. Dodatkowo częściowe zacienienie powierzchni gruntu przez panele fotowoltaiczne ogranicza powierzchniowe parowanie wody i stanowi częściową ochronę roślinności przed skutkami długotrwałej suszy. </w:t>
      </w:r>
    </w:p>
    <w:p>
      <w:pPr>
        <w:pStyle w:val="Default"/>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upały: planowane do zastosowania panele polikrystaliczne zostaną wykonane z materiałów wykazujących wysoką odporność na działanie wysokich temperatur takie jak : stal, aluminium, szkło, beton, nie powodujących emisji lotnych związków organicznych pod wpływem temperatur. </w:t>
      </w:r>
    </w:p>
    <w:p>
      <w:pPr>
        <w:pStyle w:val="Default"/>
        <w:numPr>
          <w:ilvl w:val="0"/>
          <w:numId w:val="15"/>
        </w:numPr>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burze i wiatry: instalacja zostanie zaprojektowana w sposób umożliwiający odporność na gwałtowne porywy wiatru towarzyszące burzom lub huraganom. </w:t>
      </w:r>
    </w:p>
    <w:p>
      <w:pPr>
        <w:pStyle w:val="Default"/>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osuwiska: przedsięwzięcie zostanie zlokalizowane poza obszarami, na których mogą wystąpić osuwiska, </w:t>
      </w:r>
    </w:p>
    <w:p>
      <w:pPr>
        <w:pStyle w:val="Default"/>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podnoszący się poziom mórz: przedsięwzięcie zostanie zlokalizowane poza obszarem, na który wpływ może mieć podnoszący się poziom mórz, </w:t>
      </w:r>
    </w:p>
    <w:p>
      <w:pPr>
        <w:pStyle w:val="Default"/>
        <w:ind w:left="426" w:hanging="142"/>
        <w:jc w:val="both"/>
        <w:rPr>
          <w:rFonts w:ascii="Calibri" w:hAnsi="Calibri" w:cs="Calibri" w:asciiTheme="minorHAnsi" w:cstheme="minorHAnsi" w:hAnsiTheme="minorHAnsi"/>
        </w:rPr>
      </w:pPr>
      <w:r>
        <w:rPr>
          <w:rFonts w:cs="Calibri" w:cstheme="minorHAnsi"/>
        </w:rPr>
        <w:t xml:space="preserve">• </w:t>
      </w:r>
      <w:r>
        <w:rPr>
          <w:rFonts w:cs="Calibri" w:cstheme="minorHAnsi"/>
        </w:rPr>
        <w:t xml:space="preserve">fale chłodu i śniegu: przedsięwzięcie zostanie zaprojektowane z uwzględnieniem możliwości wystąpienia okresów bardzo niskich temperatur. Oblodzenie nie będzie miało wpływu na prace instalacji, która zostanie zaprojektowana z uwzględnieniem możliwości wystąpienia intensywnych opadów śniegu oraz gradu, a w przypadku możliwości pojawienia się szkody wywołanej zamarzaniem, do budowy instalacji nie planuje się wykorzystania materiałów nasiąkliwych oraz wyeliminowano z konstrukcji występowanie wąskich przestrzeni, w których zamarzająca woda mogłaby powodować rozsadzanie i w efekcie erozję. </w:t>
      </w:r>
    </w:p>
    <w:p>
      <w:pPr>
        <w:pStyle w:val="Default"/>
        <w:ind w:left="-284" w:firstLine="568"/>
        <w:rPr>
          <w:rFonts w:ascii="Calibri" w:hAnsi="Calibri" w:cs="Calibri" w:asciiTheme="minorHAnsi" w:cstheme="minorHAnsi" w:hAnsiTheme="minorHAnsi"/>
        </w:rPr>
      </w:pPr>
      <w:r>
        <w:rPr>
          <w:rFonts w:cs="Calibri" w:cstheme="minorHAnsi"/>
        </w:rPr>
      </w:r>
    </w:p>
    <w:p>
      <w:pPr>
        <w:pStyle w:val="Default"/>
        <w:ind w:left="-284" w:firstLine="568"/>
        <w:jc w:val="both"/>
        <w:rPr>
          <w:rFonts w:ascii="Calibri" w:hAnsi="Calibri" w:cs="Calibri" w:asciiTheme="minorHAnsi" w:cstheme="minorHAnsi" w:hAnsiTheme="minorHAnsi"/>
        </w:rPr>
      </w:pPr>
      <w:r>
        <w:rPr>
          <w:rFonts w:cs="Calibri" w:cstheme="minorHAnsi"/>
        </w:rPr>
        <w:t xml:space="preserve">Przeciwdziałanie wystąpieniu takim sytuacjom na etapie realizacji polega przede wszystkim na właściwym przygotowaniu i zorganizowaniu niezbędnych prac związanych z ewentualnym użyciem substancji niebezpiecznych. W przypadku wystąpienia sytuacji awaryjnych konieczne jest natychmiastowe podjęcie działań ograniczających zasięg zanieczyszczenia oraz działań naprawczych. Należy zaznaczyć, że teren inwestycji zostanie ogrodzony i będzie monitorowany, co będzie stanowiło dodatkowe zabezpieczenie przed sytuacjami nieprzewidzianymi, powstałymi na skutek obecności na terenie inwestycji osób do tego nieupoważnionych. </w:t>
      </w:r>
    </w:p>
    <w:p>
      <w:pPr>
        <w:pStyle w:val="Default"/>
        <w:ind w:left="-284" w:firstLine="568"/>
        <w:rPr>
          <w:rFonts w:ascii="Calibri" w:hAnsi="Calibri" w:cs="Calibri" w:asciiTheme="minorHAnsi" w:cstheme="minorHAnsi" w:hAnsiTheme="minorHAnsi"/>
        </w:rPr>
      </w:pPr>
      <w:r>
        <w:rPr>
          <w:rFonts w:cs="Calibri" w:cstheme="minorHAnsi"/>
        </w:rPr>
      </w:r>
    </w:p>
    <w:p>
      <w:pPr>
        <w:pStyle w:val="Normal"/>
        <w:ind w:left="-284" w:firstLine="568"/>
        <w:rPr>
          <w:rFonts w:ascii="Calibri" w:hAnsi="Calibri" w:cs="Calibri" w:asciiTheme="minorHAnsi" w:cstheme="minorHAnsi" w:hAnsiTheme="minorHAnsi"/>
          <w:sz w:val="28"/>
          <w:szCs w:val="24"/>
          <w:highlight w:val="white"/>
        </w:rPr>
      </w:pPr>
      <w:r>
        <w:rPr>
          <w:rFonts w:cs="Calibri" w:cstheme="minorHAnsi"/>
          <w:b/>
          <w:bCs/>
          <w:szCs w:val="24"/>
        </w:rPr>
        <w:t>W związku ze stosunkowo krótkim czasem prac oraz niewielką ilością sprzętu oraz maszyn wykorzystanych do montażu przedmiotowej instalacji ryzyko wystąpienia poważnej awarii jest znikome.</w:t>
      </w:r>
    </w:p>
    <w:p>
      <w:pPr>
        <w:pStyle w:val="Normal"/>
        <w:ind w:left="0" w:hanging="0"/>
        <w:rPr>
          <w:rFonts w:ascii="Calibri" w:hAnsi="Calibri" w:cs="Calibri" w:asciiTheme="minorHAnsi" w:cstheme="minorHAnsi" w:hAnsiTheme="minorHAnsi"/>
          <w:highlight w:val="white"/>
        </w:rPr>
      </w:pPr>
      <w:r>
        <w:rPr>
          <w:rFonts w:cs="Calibri" w:cstheme="minorHAnsi"/>
          <w:highlight w:val="white"/>
        </w:rPr>
      </w:r>
    </w:p>
    <w:p>
      <w:pPr>
        <w:pStyle w:val="Normal"/>
        <w:rPr>
          <w:rFonts w:ascii="Calibri" w:hAnsi="Calibri" w:cs="Calibri" w:asciiTheme="minorHAnsi" w:cstheme="minorHAnsi" w:hAnsiTheme="minorHAnsi"/>
          <w:highlight w:val="white"/>
        </w:rPr>
      </w:pPr>
      <w:r>
        <w:rPr>
          <w:rFonts w:cs="Calibri" w:cstheme="minorHAnsi"/>
          <w:highlight w:val="white"/>
        </w:rPr>
      </w:r>
    </w:p>
    <w:p>
      <w:pPr>
        <w:pStyle w:val="Nagwek1"/>
        <w:ind w:left="308" w:right="0" w:hanging="10"/>
        <w:rPr/>
      </w:pPr>
      <w:bookmarkStart w:id="47" w:name="_Toc121388988"/>
      <w:r>
        <w:rPr/>
        <w:t>16. Obszar ograniczonego użytkowania i zapobieganie awariom przemysłowym</w:t>
      </w:r>
      <w:bookmarkEnd w:id="47"/>
      <w:r>
        <w:rPr/>
        <w:t xml:space="preserve"> </w:t>
      </w:r>
    </w:p>
    <w:p>
      <w:pPr>
        <w:pStyle w:val="Normal"/>
        <w:spacing w:lineRule="auto" w:line="240" w:before="0" w:after="22"/>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82"/>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Po przeanalizowaniu warunków lokalizacyjnych planowanego obiektu, oraz określeniu wpływu inwestycji na poszczególne komponenty środowiska, w rozumieniu art. 248 ustawy z dnia 27 kwietnia 2001 r. Prawo ochrony środowiska, planowane przedsięwzięcia nie są zaliczane do zakładów stwarzających zagrożenie wystąpienia poważnej awarii przemysłowej, nie występuje też w wykazie obiektów wymienionych w art. 135 ust.1 w/cyt. ustawy, dla których mogą być tworzone obszary ograniczonego użytkowania, gdyż podczas eksploatacji obiektu dotrzymane będą standardy jakości środowiska. Zastosowanie najnowszych rozwiązań technologicznych przy budowie instalacji fotowoltaicznej ogranicza powstawanie zakłóceń w jej funkcjonowaniu. </w:t>
      </w:r>
    </w:p>
    <w:p>
      <w:pPr>
        <w:pStyle w:val="Normal"/>
        <w:spacing w:lineRule="auto" w:line="240"/>
        <w:ind w:left="-284" w:firstLine="582"/>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rPr>
          <w:rFonts w:ascii="Calibri" w:hAnsi="Calibri" w:cs="Calibri" w:asciiTheme="minorHAnsi" w:cstheme="minorHAnsi" w:hAnsiTheme="minorHAnsi"/>
          <w:highlight w:val="white"/>
        </w:rPr>
      </w:pPr>
      <w:r>
        <w:rPr>
          <w:rFonts w:cs="Calibri" w:cstheme="minorHAnsi"/>
          <w:highlight w:val="white"/>
        </w:rPr>
      </w:r>
    </w:p>
    <w:p>
      <w:pPr>
        <w:pStyle w:val="Nagwek1"/>
        <w:ind w:left="308" w:right="0" w:hanging="10"/>
        <w:rPr/>
      </w:pPr>
      <w:bookmarkStart w:id="48" w:name="_Toc121388989"/>
      <w:r>
        <w:rPr/>
        <w:t>17. Podsumowanie</w:t>
      </w:r>
      <w:bookmarkEnd w:id="48"/>
      <w:r>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ind w:left="-284" w:firstLine="582"/>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Przedsięwzięcie inwestycyjne polega na budowie instalacji fotowoltaicznej o łącznej mocy do 8 MW (dopuszcza się możliwość realizacji przedsięwzięcia w podziale na etapy - do 8 etapów) obręb </w:t>
      </w:r>
      <w:r>
        <w:rPr>
          <w:rFonts w:asciiTheme="minorHAnsi" w:hAnsiTheme="minorHAnsi"/>
          <w:color w:val="auto"/>
        </w:rPr>
        <w:t>Szczukocice, gmina Gorzkowice, powiat piotrowski</w:t>
      </w:r>
      <w:r>
        <w:rPr>
          <w:rFonts w:cs="Calibri" w:cstheme="minorHAnsi"/>
          <w:color w:val="000000" w:themeColor="text1"/>
          <w:szCs w:val="24"/>
        </w:rPr>
        <w:t xml:space="preserve">, na działkach o nr ewid. 157, 158/1, 158/2, 159, 160. Celem projektu jest poprawa efektywności energetycznej, dzięki wprowadzeniu systemów energii odnawialnej. Zamierzenie inwestycyjne prowadzi do pozyskania energii elektrycznej poprzez przetworzenie energii słonecznej w ogniwach fotowoltaicznych. W ramach inwestycji zostanie zamontowanych do 29 600 sztuk paneli fotowoltaicznych, podłączonych do inwerterów, które przetwarzają prąd stały na przemienny. Wyprowadzeniem mocy z terenu farmy do sieci lokalnego operatora systemu dystrybucyjnego (OSD) będzie wpięcie do znajdującej się w okolicach inwestycji linii SN. Teren inwestycji zostanie ogrodzony i monitorowany.  </w:t>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Pojawiające się oddziaływania przedsięwzięcia na środowisko w fazie realizacji przy odpowiedniej organizacji robót będą zminimalizowane i przemijające. Oddziaływania w fazie eksploatacji mieszczą się w granicach dopuszczalnych poziomów dla poszczególnych komponentów środowiska. Załączone dalej mapy pokazują usytuowanie terenu planowanej inwestycji od poszczególnych form ochrony przyrody. Planowana inwestycja nie będzie negatywnie oddziaływać na obszary podlegające ochronie, które zostały określone w ustawie z dnia 16 kwietnia 2004 r. o ochronie przyrody.  </w:t>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Farma fotowoltaiczna jako odnawialne źródło energii przyczynia się również do racjonalizacji zużycia energii, surowców i materiałów, a także przyczynia się do minimalizacji emisji gazów cieplarnianych oraz zanieczyszczeń powietrza, co jest zgodne z założeniami polityki energetycznej naszego kraju. Planowana inwestycja nie stanowi również zagrożeń dla środowiska naturalnego oraz dla zdrowia społeczności lokalnej.</w:t>
      </w:r>
    </w:p>
    <w:p>
      <w:pPr>
        <w:pStyle w:val="Normal"/>
        <w:spacing w:lineRule="auto" w:line="240" w:before="0" w:after="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agwek1"/>
        <w:ind w:left="851" w:right="0" w:hanging="553"/>
        <w:rPr/>
      </w:pPr>
      <w:bookmarkStart w:id="49" w:name="_Toc121388990"/>
      <w:r>
        <w:rPr/>
        <w:t>18. Mapy odległości od obszarów, zakres oddziaływania inwestycji oraz przykładowe zagospodarowanie terenu</w:t>
      </w:r>
      <w:bookmarkEnd w:id="49"/>
      <w:r>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before="0" w:after="15"/>
        <w:ind w:left="-284" w:firstLine="568"/>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Mapy są załącznikiem do powyższej KIP.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t xml:space="preserve"> </w:t>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before="0" w:after="0"/>
        <w:ind w:left="-284" w:hanging="0"/>
        <w:jc w:val="left"/>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ind w:left="0" w:hanging="0"/>
        <w:rPr>
          <w:rFonts w:ascii="Calibri" w:hAnsi="Calibri" w:cs="Calibri" w:asciiTheme="minorHAnsi" w:cstheme="minorHAnsi" w:hAnsiTheme="minorHAnsi"/>
          <w:color w:val="000000" w:themeColor="text1"/>
          <w:szCs w:val="24"/>
        </w:rPr>
      </w:pPr>
      <w:r>
        <w:rPr>
          <w:rFonts w:cs="Calibri" w:cstheme="minorHAnsi"/>
          <w:color w:val="000000" w:themeColor="text1"/>
          <w:szCs w:val="24"/>
        </w:rPr>
      </w:r>
    </w:p>
    <w:p>
      <w:pPr>
        <w:pStyle w:val="Normal"/>
        <w:spacing w:lineRule="auto" w:line="240"/>
        <w:jc w:val="right"/>
        <w:rPr>
          <w:rFonts w:ascii="Calibri" w:hAnsi="Calibri" w:cs="Calibri" w:asciiTheme="minorHAnsi" w:cstheme="minorHAnsi" w:hAnsiTheme="minorHAnsi"/>
          <w:i/>
          <w:i/>
          <w:color w:val="000000" w:themeColor="text1"/>
          <w:szCs w:val="24"/>
        </w:rPr>
      </w:pPr>
      <w:r>
        <w:rPr>
          <w:rFonts w:cs="Calibri" w:cstheme="minorHAnsi"/>
          <w:i/>
          <w:color w:val="000000" w:themeColor="text1"/>
          <w:szCs w:val="24"/>
        </w:rPr>
        <w:t>…………………………………………</w:t>
      </w:r>
    </w:p>
    <w:p>
      <w:pPr>
        <w:pStyle w:val="Normal"/>
        <w:jc w:val="right"/>
        <w:rPr>
          <w:rFonts w:ascii="Calibri" w:hAnsi="Calibri" w:cs="Calibri" w:asciiTheme="minorHAnsi" w:cstheme="minorHAnsi" w:hAnsiTheme="minorHAnsi"/>
          <w:i/>
          <w:i/>
          <w:color w:val="000000" w:themeColor="text1"/>
          <w:szCs w:val="24"/>
        </w:rPr>
      </w:pPr>
      <w:r>
        <w:rPr>
          <w:rFonts w:cs="Calibri" w:cstheme="minorHAnsi"/>
          <w:i/>
          <w:color w:val="000000" w:themeColor="text1"/>
          <w:szCs w:val="24"/>
        </w:rPr>
      </w:r>
    </w:p>
    <w:p>
      <w:pPr>
        <w:pStyle w:val="Normal"/>
        <w:jc w:val="right"/>
        <w:rPr>
          <w:rFonts w:ascii="Calibri" w:hAnsi="Calibri" w:cs="Calibri" w:asciiTheme="minorHAnsi" w:cstheme="minorHAnsi" w:hAnsiTheme="minorHAnsi"/>
          <w:i/>
          <w:i/>
          <w:color w:val="000000" w:themeColor="text1"/>
          <w:szCs w:val="24"/>
        </w:rPr>
      </w:pPr>
      <w:r>
        <w:rPr>
          <w:rFonts w:cs="Calibri" w:cstheme="minorHAnsi"/>
          <w:i/>
          <w:color w:val="000000" w:themeColor="text1"/>
          <w:szCs w:val="24"/>
        </w:rPr>
        <w:t>Podpis Kierownika Zespołu</w:t>
      </w:r>
    </w:p>
    <w:p>
      <w:pPr>
        <w:pStyle w:val="Normal"/>
        <w:spacing w:lineRule="auto" w:line="240" w:before="0" w:after="5"/>
        <w:ind w:left="0" w:hanging="0"/>
        <w:rPr/>
      </w:pPr>
      <w:r>
        <w:rPr>
          <w:rFonts w:cs="Calibri" w:cstheme="minorHAnsi"/>
          <w:i/>
          <w:color w:val="000000" w:themeColor="text1"/>
          <w:szCs w:val="24"/>
        </w:rPr>
        <w:t xml:space="preserve"> </w:t>
      </w:r>
    </w:p>
    <w:sectPr>
      <w:headerReference w:type="default" r:id="rId7"/>
      <w:footerReference w:type="default" r:id="rId8"/>
      <w:type w:val="nextPage"/>
      <w:pgSz w:w="11906" w:h="16838"/>
      <w:pgMar w:left="1134" w:right="1134" w:header="709" w:top="919" w:footer="709" w:bottom="1168" w:gutter="0"/>
      <w:pgNumType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Segoe UI">
    <w:charset w:val="ee"/>
    <w:family w:val="roman"/>
    <w:pitch w:val="variable"/>
  </w:font>
  <w:font w:name="Liberation Sans">
    <w:altName w:val="Arial"/>
    <w:charset w:val="ee"/>
    <w:family w:val="roman"/>
    <w:pitch w:val="variable"/>
  </w:font>
  <w:font w:name="Book Antiqua">
    <w:charset w:val="ee"/>
    <w:family w:val="roman"/>
    <w:pitch w:val="variable"/>
  </w:font>
  <w:font w:name="Cambria Math">
    <w:charset w:val="ee"/>
    <w:family w:val="roman"/>
    <w:pitch w:val="variable"/>
  </w:font>
  <w:font w:name="Times New Roman">
    <w:charset w:val="ee"/>
    <w:family w:val="roman"/>
    <w:pitch w:val="variable"/>
  </w:font>
  <w:font w:name="Arial">
    <w:charset w:val="01"/>
    <w:family w:val="swiss"/>
    <w:pitch w:val="variable"/>
  </w:font>
  <w:font w:name="Segoe UI Symbo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15479657"/>
    </w:sdtPr>
    <w:sdtContent>
      <w:p>
        <w:pPr>
          <w:pStyle w:val="Stopka"/>
          <w:pBdr>
            <w:top w:val="single" w:sz="4" w:space="1" w:color="D9D9D9"/>
          </w:pBdr>
          <w:jc w:val="right"/>
          <w:rPr/>
        </w:pPr>
        <w:r>
          <w:rPr/>
          <w:fldChar w:fldCharType="begin"/>
        </w:r>
        <w:r>
          <w:rPr/>
          <w:instrText> PAGE </w:instrText>
        </w:r>
        <w:r>
          <w:rPr/>
          <w:fldChar w:fldCharType="separate"/>
        </w:r>
        <w:r>
          <w:rPr/>
          <w:t>10</w:t>
        </w:r>
        <w:r>
          <w:rPr/>
          <w:fldChar w:fldCharType="end"/>
        </w:r>
        <w:r>
          <w:rPr/>
          <w:t xml:space="preserve"> </w:t>
        </w:r>
        <w:r>
          <w:rPr/>
          <w:t xml:space="preserve">| </w:t>
        </w:r>
        <w:r>
          <w:rPr>
            <w:color w:val="7F7F7F" w:themeColor="background1" w:themeShade="7f"/>
            <w:spacing w:val="60"/>
          </w:rPr>
          <w:t>Strona</w:t>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90" w:before="0" w:after="135"/>
      <w:jc w:val="center"/>
      <w:rPr>
        <w:b/>
        <w:b/>
        <w:sz w:val="16"/>
        <w:szCs w:val="16"/>
      </w:rPr>
    </w:pPr>
    <w:r>
      <mc:AlternateContent>
        <mc:Choice Requires="wps">
          <w:drawing>
            <wp:anchor behindDoc="1" distT="0" distB="0" distL="0" distR="0" simplePos="0" locked="0" layoutInCell="1" allowOverlap="1" relativeHeight="36" wp14:anchorId="3C8E901A">
              <wp:simplePos x="0" y="0"/>
              <wp:positionH relativeFrom="column">
                <wp:posOffset>-38735</wp:posOffset>
              </wp:positionH>
              <wp:positionV relativeFrom="paragraph">
                <wp:posOffset>335280</wp:posOffset>
              </wp:positionV>
              <wp:extent cx="5853430" cy="1905"/>
              <wp:effectExtent l="13335" t="10160" r="11430" b="8890"/>
              <wp:wrapNone/>
              <wp:docPr id="8" name="AutoShape 1"/>
              <a:graphic xmlns:a="http://schemas.openxmlformats.org/drawingml/2006/main">
                <a:graphicData uri="http://schemas.microsoft.com/office/word/2010/wordprocessingShape">
                  <wps:wsp>
                    <wps:cNvSpPr/>
                    <wps:spPr>
                      <a:xfrm>
                        <a:off x="0" y="0"/>
                        <a:ext cx="5852880" cy="144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r>
      <w:rPr>
        <w:b/>
        <w:sz w:val="16"/>
        <w:szCs w:val="16"/>
      </w:rPr>
      <w:t xml:space="preserve">Karta Informacyjna Przedsięwzięcia „Budowa farmy fotowoltaicznej o mocy do 8 MW wraz z infrastrukturą techniczną </w:t>
    </w:r>
    <w:bookmarkStart w:id="50" w:name="_Hlk114481160"/>
    <w:r>
      <w:rPr>
        <w:b/>
        <w:sz w:val="16"/>
        <w:szCs w:val="16"/>
      </w:rPr>
      <w:t xml:space="preserve">na działkach o nr ewid. </w:t>
    </w:r>
    <w:bookmarkEnd w:id="50"/>
    <w:r>
      <w:rPr>
        <w:b/>
        <w:sz w:val="16"/>
        <w:szCs w:val="16"/>
      </w:rPr>
      <w:t>157, 158/1, 158/2, 159, 160, obręb Szczukocice Wieś”</w:t>
    </w:r>
  </w:p>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6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1">
      <w:start w:val="1"/>
      <w:numFmt w:val="bullet"/>
      <w:lvlText w:val="o"/>
      <w:lvlJc w:val="left"/>
      <w:pPr>
        <w:ind w:left="178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2">
      <w:start w:val="1"/>
      <w:numFmt w:val="bullet"/>
      <w:lvlText w:val="▪"/>
      <w:lvlJc w:val="left"/>
      <w:pPr>
        <w:ind w:left="250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3">
      <w:start w:val="1"/>
      <w:numFmt w:val="bullet"/>
      <w:lvlText w:val="•"/>
      <w:lvlJc w:val="left"/>
      <w:pPr>
        <w:ind w:left="322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4">
      <w:start w:val="1"/>
      <w:numFmt w:val="bullet"/>
      <w:lvlText w:val="o"/>
      <w:lvlJc w:val="left"/>
      <w:pPr>
        <w:ind w:left="394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5">
      <w:start w:val="1"/>
      <w:numFmt w:val="bullet"/>
      <w:lvlText w:val="▪"/>
      <w:lvlJc w:val="left"/>
      <w:pPr>
        <w:ind w:left="466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6">
      <w:start w:val="1"/>
      <w:numFmt w:val="bullet"/>
      <w:lvlText w:val="•"/>
      <w:lvlJc w:val="left"/>
      <w:pPr>
        <w:ind w:left="538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7">
      <w:start w:val="1"/>
      <w:numFmt w:val="bullet"/>
      <w:lvlText w:val="o"/>
      <w:lvlJc w:val="left"/>
      <w:pPr>
        <w:ind w:left="610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8">
      <w:start w:val="1"/>
      <w:numFmt w:val="bullet"/>
      <w:lvlText w:val="▪"/>
      <w:lvlJc w:val="left"/>
      <w:pPr>
        <w:ind w:left="682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abstractNum>
  <w:abstractNum w:abstractNumId="2">
    <w:lvl w:ilvl="0">
      <w:start w:val="1"/>
      <w:numFmt w:val="bullet"/>
      <w:lvlText w:val="•"/>
      <w:lvlJc w:val="left"/>
      <w:pPr>
        <w:ind w:left="1080"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1">
      <w:start w:val="1"/>
      <w:numFmt w:val="bullet"/>
      <w:lvlText w:val="o"/>
      <w:lvlJc w:val="left"/>
      <w:pPr>
        <w:ind w:left="178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2">
      <w:start w:val="1"/>
      <w:numFmt w:val="bullet"/>
      <w:lvlText w:val="▪"/>
      <w:lvlJc w:val="left"/>
      <w:pPr>
        <w:ind w:left="250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3">
      <w:start w:val="1"/>
      <w:numFmt w:val="bullet"/>
      <w:lvlText w:val="•"/>
      <w:lvlJc w:val="left"/>
      <w:pPr>
        <w:ind w:left="322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4">
      <w:start w:val="1"/>
      <w:numFmt w:val="bullet"/>
      <w:lvlText w:val="o"/>
      <w:lvlJc w:val="left"/>
      <w:pPr>
        <w:ind w:left="394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5">
      <w:start w:val="1"/>
      <w:numFmt w:val="bullet"/>
      <w:lvlText w:val="▪"/>
      <w:lvlJc w:val="left"/>
      <w:pPr>
        <w:ind w:left="466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6">
      <w:start w:val="1"/>
      <w:numFmt w:val="bullet"/>
      <w:lvlText w:val="•"/>
      <w:lvlJc w:val="left"/>
      <w:pPr>
        <w:ind w:left="538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7">
      <w:start w:val="1"/>
      <w:numFmt w:val="bullet"/>
      <w:lvlText w:val="o"/>
      <w:lvlJc w:val="left"/>
      <w:pPr>
        <w:ind w:left="610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8">
      <w:start w:val="1"/>
      <w:numFmt w:val="bullet"/>
      <w:lvlText w:val="▪"/>
      <w:lvlJc w:val="left"/>
      <w:pPr>
        <w:ind w:left="682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abstractNum>
  <w:abstractNum w:abstractNumId="3">
    <w:lvl w:ilvl="0">
      <w:start w:val="1"/>
      <w:numFmt w:val="bullet"/>
      <w:lvlText w:val="•"/>
      <w:lvlJc w:val="left"/>
      <w:pPr>
        <w:ind w:left="143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1">
      <w:start w:val="1"/>
      <w:numFmt w:val="bullet"/>
      <w:lvlText w:val="o"/>
      <w:lvlJc w:val="left"/>
      <w:pPr>
        <w:ind w:left="215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2">
      <w:start w:val="1"/>
      <w:numFmt w:val="bullet"/>
      <w:lvlText w:val="▪"/>
      <w:lvlJc w:val="left"/>
      <w:pPr>
        <w:ind w:left="287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3">
      <w:start w:val="1"/>
      <w:numFmt w:val="bullet"/>
      <w:lvlText w:val="•"/>
      <w:lvlJc w:val="left"/>
      <w:pPr>
        <w:ind w:left="359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4">
      <w:start w:val="1"/>
      <w:numFmt w:val="bullet"/>
      <w:lvlText w:val="o"/>
      <w:lvlJc w:val="left"/>
      <w:pPr>
        <w:ind w:left="431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5">
      <w:start w:val="1"/>
      <w:numFmt w:val="bullet"/>
      <w:lvlText w:val="▪"/>
      <w:lvlJc w:val="left"/>
      <w:pPr>
        <w:ind w:left="503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6">
      <w:start w:val="1"/>
      <w:numFmt w:val="bullet"/>
      <w:lvlText w:val="•"/>
      <w:lvlJc w:val="left"/>
      <w:pPr>
        <w:ind w:left="5758"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7">
      <w:start w:val="1"/>
      <w:numFmt w:val="bullet"/>
      <w:lvlText w:val="o"/>
      <w:lvlJc w:val="left"/>
      <w:pPr>
        <w:ind w:left="647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lvl w:ilvl="8">
      <w:start w:val="1"/>
      <w:numFmt w:val="bullet"/>
      <w:lvlText w:val="▪"/>
      <w:lvlJc w:val="left"/>
      <w:pPr>
        <w:ind w:left="7198"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1F000F"/>
      </w:rPr>
    </w:lvl>
  </w:abstractNum>
  <w:abstractNum w:abstractNumId="4">
    <w:lvl w:ilvl="0">
      <w:start w:val="1"/>
      <w:numFmt w:val="bullet"/>
      <w:lvlText w:val=""/>
      <w:lvlJc w:val="left"/>
      <w:pPr>
        <w:ind w:left="1018" w:hanging="360"/>
      </w:pPr>
      <w:rPr>
        <w:rFonts w:ascii="Symbol" w:hAnsi="Symbol" w:cs="Symbol" w:hint="default"/>
        <w:rFonts w:cs="Symbol"/>
      </w:rPr>
    </w:lvl>
    <w:lvl w:ilvl="1">
      <w:start w:val="1"/>
      <w:numFmt w:val="bullet"/>
      <w:lvlText w:val="o"/>
      <w:lvlJc w:val="left"/>
      <w:pPr>
        <w:ind w:left="1738" w:hanging="360"/>
      </w:pPr>
      <w:rPr>
        <w:rFonts w:ascii="Courier New" w:hAnsi="Courier New" w:cs="Courier New" w:hint="default"/>
        <w:rFonts w:cs="Courier New"/>
      </w:rPr>
    </w:lvl>
    <w:lvl w:ilvl="2">
      <w:start w:val="1"/>
      <w:numFmt w:val="bullet"/>
      <w:lvlText w:val=""/>
      <w:lvlJc w:val="left"/>
      <w:pPr>
        <w:ind w:left="2458" w:hanging="360"/>
      </w:pPr>
      <w:rPr>
        <w:rFonts w:ascii="Wingdings" w:hAnsi="Wingdings" w:cs="Wingdings" w:hint="default"/>
        <w:rFonts w:cs="Wingdings"/>
      </w:rPr>
    </w:lvl>
    <w:lvl w:ilvl="3">
      <w:start w:val="1"/>
      <w:numFmt w:val="bullet"/>
      <w:lvlText w:val=""/>
      <w:lvlJc w:val="left"/>
      <w:pPr>
        <w:ind w:left="3178" w:hanging="360"/>
      </w:pPr>
      <w:rPr>
        <w:rFonts w:ascii="Symbol" w:hAnsi="Symbol" w:cs="Symbol" w:hint="default"/>
        <w:rFonts w:cs="Symbol"/>
      </w:rPr>
    </w:lvl>
    <w:lvl w:ilvl="4">
      <w:start w:val="1"/>
      <w:numFmt w:val="bullet"/>
      <w:lvlText w:val="o"/>
      <w:lvlJc w:val="left"/>
      <w:pPr>
        <w:ind w:left="3898" w:hanging="360"/>
      </w:pPr>
      <w:rPr>
        <w:rFonts w:ascii="Courier New" w:hAnsi="Courier New" w:cs="Courier New" w:hint="default"/>
        <w:rFonts w:cs="Courier New"/>
      </w:rPr>
    </w:lvl>
    <w:lvl w:ilvl="5">
      <w:start w:val="1"/>
      <w:numFmt w:val="bullet"/>
      <w:lvlText w:val=""/>
      <w:lvlJc w:val="left"/>
      <w:pPr>
        <w:ind w:left="4618" w:hanging="360"/>
      </w:pPr>
      <w:rPr>
        <w:rFonts w:ascii="Wingdings" w:hAnsi="Wingdings" w:cs="Wingdings" w:hint="default"/>
        <w:rFonts w:cs="Wingdings"/>
      </w:rPr>
    </w:lvl>
    <w:lvl w:ilvl="6">
      <w:start w:val="1"/>
      <w:numFmt w:val="bullet"/>
      <w:lvlText w:val=""/>
      <w:lvlJc w:val="left"/>
      <w:pPr>
        <w:ind w:left="5338" w:hanging="360"/>
      </w:pPr>
      <w:rPr>
        <w:rFonts w:ascii="Symbol" w:hAnsi="Symbol" w:cs="Symbol" w:hint="default"/>
        <w:rFonts w:cs="Symbol"/>
      </w:rPr>
    </w:lvl>
    <w:lvl w:ilvl="7">
      <w:start w:val="1"/>
      <w:numFmt w:val="bullet"/>
      <w:lvlText w:val="o"/>
      <w:lvlJc w:val="left"/>
      <w:pPr>
        <w:ind w:left="6058" w:hanging="360"/>
      </w:pPr>
      <w:rPr>
        <w:rFonts w:ascii="Courier New" w:hAnsi="Courier New" w:cs="Courier New" w:hint="default"/>
        <w:rFonts w:cs="Courier New"/>
      </w:rPr>
    </w:lvl>
    <w:lvl w:ilvl="8">
      <w:start w:val="1"/>
      <w:numFmt w:val="bullet"/>
      <w:lvlText w:val=""/>
      <w:lvlJc w:val="left"/>
      <w:pPr>
        <w:ind w:left="6778" w:hanging="360"/>
      </w:pPr>
      <w:rPr>
        <w:rFonts w:ascii="Wingdings" w:hAnsi="Wingdings" w:cs="Wingdings" w:hint="default"/>
        <w:rFonts w:cs="Wingdings"/>
      </w:rPr>
    </w:lvl>
  </w:abstractNum>
  <w:abstractNum w:abstractNumId="5">
    <w:lvl w:ilvl="0">
      <w:start w:val="1"/>
      <w:numFmt w:val="decimal"/>
      <w:lvlText w:val="%1."/>
      <w:lvlJc w:val="left"/>
      <w:pPr>
        <w:ind w:left="1129" w:hanging="360"/>
      </w:pPr>
    </w:lvl>
    <w:lvl w:ilvl="1">
      <w:start w:val="1"/>
      <w:numFmt w:val="lowerLetter"/>
      <w:lvlText w:val="%2."/>
      <w:lvlJc w:val="left"/>
      <w:pPr>
        <w:ind w:left="1849" w:hanging="360"/>
      </w:pPr>
    </w:lvl>
    <w:lvl w:ilvl="2">
      <w:start w:val="1"/>
      <w:numFmt w:val="lowerRoman"/>
      <w:lvlText w:val="%3."/>
      <w:lvlJc w:val="right"/>
      <w:pPr>
        <w:ind w:left="2569" w:hanging="180"/>
      </w:pPr>
    </w:lvl>
    <w:lvl w:ilvl="3">
      <w:start w:val="1"/>
      <w:numFmt w:val="decimal"/>
      <w:lvlText w:val="%4."/>
      <w:lvlJc w:val="left"/>
      <w:pPr>
        <w:ind w:left="3289" w:hanging="360"/>
      </w:pPr>
    </w:lvl>
    <w:lvl w:ilvl="4">
      <w:start w:val="1"/>
      <w:numFmt w:val="lowerLetter"/>
      <w:lvlText w:val="%5."/>
      <w:lvlJc w:val="left"/>
      <w:pPr>
        <w:ind w:left="4009" w:hanging="360"/>
      </w:pPr>
    </w:lvl>
    <w:lvl w:ilvl="5">
      <w:start w:val="1"/>
      <w:numFmt w:val="lowerRoman"/>
      <w:lvlText w:val="%6."/>
      <w:lvlJc w:val="right"/>
      <w:pPr>
        <w:ind w:left="4729" w:hanging="180"/>
      </w:pPr>
    </w:lvl>
    <w:lvl w:ilvl="6">
      <w:start w:val="1"/>
      <w:numFmt w:val="decimal"/>
      <w:lvlText w:val="%7."/>
      <w:lvlJc w:val="left"/>
      <w:pPr>
        <w:ind w:left="5449" w:hanging="360"/>
      </w:pPr>
    </w:lvl>
    <w:lvl w:ilvl="7">
      <w:start w:val="1"/>
      <w:numFmt w:val="lowerLetter"/>
      <w:lvlText w:val="%8."/>
      <w:lvlJc w:val="left"/>
      <w:pPr>
        <w:ind w:left="6169" w:hanging="360"/>
      </w:pPr>
    </w:lvl>
    <w:lvl w:ilvl="8">
      <w:start w:val="1"/>
      <w:numFmt w:val="lowerRoman"/>
      <w:lvlText w:val="%9."/>
      <w:lvlJc w:val="right"/>
      <w:pPr>
        <w:ind w:left="6889" w:hanging="180"/>
      </w:pPr>
    </w:lvl>
  </w:abstractNum>
  <w:abstractNum w:abstractNumId="6">
    <w:lvl w:ilvl="0">
      <w:start w:val="1"/>
      <w:numFmt w:val="lowerLetter"/>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7">
    <w:lvl w:ilvl="0">
      <w:start w:val="1"/>
      <w:numFmt w:val="bullet"/>
      <w:lvlText w:val=""/>
      <w:lvlJc w:val="left"/>
      <w:pPr>
        <w:ind w:left="436" w:hanging="360"/>
      </w:pPr>
      <w:rPr>
        <w:rFonts w:ascii="Symbol" w:hAnsi="Symbol" w:cs="Symbol" w:hint="default"/>
        <w:rFonts w:cs="Symbol"/>
      </w:rPr>
    </w:lvl>
    <w:lvl w:ilvl="1">
      <w:start w:val="1"/>
      <w:numFmt w:val="bullet"/>
      <w:lvlText w:val="o"/>
      <w:lvlJc w:val="left"/>
      <w:pPr>
        <w:ind w:left="1156" w:hanging="360"/>
      </w:pPr>
      <w:rPr>
        <w:rFonts w:ascii="Courier New" w:hAnsi="Courier New" w:cs="Courier New" w:hint="default"/>
        <w:rFonts w:cs="Courier New"/>
      </w:rPr>
    </w:lvl>
    <w:lvl w:ilvl="2">
      <w:start w:val="1"/>
      <w:numFmt w:val="bullet"/>
      <w:lvlText w:val=""/>
      <w:lvlJc w:val="left"/>
      <w:pPr>
        <w:ind w:left="1876" w:hanging="360"/>
      </w:pPr>
      <w:rPr>
        <w:rFonts w:ascii="Wingdings" w:hAnsi="Wingdings" w:cs="Wingdings" w:hint="default"/>
        <w:rFonts w:cs="Wingdings"/>
      </w:rPr>
    </w:lvl>
    <w:lvl w:ilvl="3">
      <w:start w:val="1"/>
      <w:numFmt w:val="bullet"/>
      <w:lvlText w:val=""/>
      <w:lvlJc w:val="left"/>
      <w:pPr>
        <w:ind w:left="2596" w:hanging="360"/>
      </w:pPr>
      <w:rPr>
        <w:rFonts w:ascii="Symbol" w:hAnsi="Symbol" w:cs="Symbol" w:hint="default"/>
        <w:rFonts w:cs="Symbol"/>
      </w:rPr>
    </w:lvl>
    <w:lvl w:ilvl="4">
      <w:start w:val="1"/>
      <w:numFmt w:val="bullet"/>
      <w:lvlText w:val="o"/>
      <w:lvlJc w:val="left"/>
      <w:pPr>
        <w:ind w:left="3316" w:hanging="360"/>
      </w:pPr>
      <w:rPr>
        <w:rFonts w:ascii="Courier New" w:hAnsi="Courier New" w:cs="Courier New" w:hint="default"/>
        <w:rFonts w:cs="Courier New"/>
      </w:rPr>
    </w:lvl>
    <w:lvl w:ilvl="5">
      <w:start w:val="1"/>
      <w:numFmt w:val="bullet"/>
      <w:lvlText w:val=""/>
      <w:lvlJc w:val="left"/>
      <w:pPr>
        <w:ind w:left="4036" w:hanging="360"/>
      </w:pPr>
      <w:rPr>
        <w:rFonts w:ascii="Wingdings" w:hAnsi="Wingdings" w:cs="Wingdings" w:hint="default"/>
        <w:rFonts w:cs="Wingdings"/>
      </w:rPr>
    </w:lvl>
    <w:lvl w:ilvl="6">
      <w:start w:val="1"/>
      <w:numFmt w:val="bullet"/>
      <w:lvlText w:val=""/>
      <w:lvlJc w:val="left"/>
      <w:pPr>
        <w:ind w:left="4756" w:hanging="360"/>
      </w:pPr>
      <w:rPr>
        <w:rFonts w:ascii="Symbol" w:hAnsi="Symbol" w:cs="Symbol" w:hint="default"/>
        <w:rFonts w:cs="Symbol"/>
      </w:rPr>
    </w:lvl>
    <w:lvl w:ilvl="7">
      <w:start w:val="1"/>
      <w:numFmt w:val="bullet"/>
      <w:lvlText w:val="o"/>
      <w:lvlJc w:val="left"/>
      <w:pPr>
        <w:ind w:left="5476" w:hanging="360"/>
      </w:pPr>
      <w:rPr>
        <w:rFonts w:ascii="Courier New" w:hAnsi="Courier New" w:cs="Courier New" w:hint="default"/>
        <w:rFonts w:cs="Courier New"/>
      </w:rPr>
    </w:lvl>
    <w:lvl w:ilvl="8">
      <w:start w:val="1"/>
      <w:numFmt w:val="bullet"/>
      <w:lvlText w:val=""/>
      <w:lvlJc w:val="left"/>
      <w:pPr>
        <w:ind w:left="6196" w:hanging="360"/>
      </w:pPr>
      <w:rPr>
        <w:rFonts w:ascii="Wingdings" w:hAnsi="Wingdings" w:cs="Wingdings" w:hint="default"/>
        <w:rFonts w:cs="Wingdings"/>
      </w:rPr>
    </w:lvl>
  </w:abstractNum>
  <w:abstractNum w:abstractNumId="8">
    <w:lvl w:ilvl="0">
      <w:start w:val="1"/>
      <w:numFmt w:val="bullet"/>
      <w:lvlText w:val=""/>
      <w:lvlJc w:val="left"/>
      <w:pPr>
        <w:ind w:left="436" w:hanging="360"/>
      </w:pPr>
      <w:rPr>
        <w:rFonts w:ascii="Symbol" w:hAnsi="Symbol" w:cs="Symbol" w:hint="default"/>
        <w:b/>
        <w:rFonts w:cs="Symbol"/>
      </w:rPr>
    </w:lvl>
    <w:lvl w:ilvl="1">
      <w:start w:val="1"/>
      <w:numFmt w:val="bullet"/>
      <w:lvlText w:val="o"/>
      <w:lvlJc w:val="left"/>
      <w:pPr>
        <w:ind w:left="1156" w:hanging="360"/>
      </w:pPr>
      <w:rPr>
        <w:rFonts w:ascii="Courier New" w:hAnsi="Courier New" w:cs="Courier New" w:hint="default"/>
        <w:rFonts w:cs="Courier New"/>
      </w:rPr>
    </w:lvl>
    <w:lvl w:ilvl="2">
      <w:start w:val="1"/>
      <w:numFmt w:val="bullet"/>
      <w:lvlText w:val=""/>
      <w:lvlJc w:val="left"/>
      <w:pPr>
        <w:ind w:left="1876" w:hanging="360"/>
      </w:pPr>
      <w:rPr>
        <w:rFonts w:ascii="Wingdings" w:hAnsi="Wingdings" w:cs="Wingdings" w:hint="default"/>
        <w:rFonts w:cs="Wingdings"/>
      </w:rPr>
    </w:lvl>
    <w:lvl w:ilvl="3">
      <w:start w:val="1"/>
      <w:numFmt w:val="bullet"/>
      <w:lvlText w:val=""/>
      <w:lvlJc w:val="left"/>
      <w:pPr>
        <w:ind w:left="2596" w:hanging="360"/>
      </w:pPr>
      <w:rPr>
        <w:rFonts w:ascii="Symbol" w:hAnsi="Symbol" w:cs="Symbol" w:hint="default"/>
        <w:rFonts w:cs="Symbol"/>
      </w:rPr>
    </w:lvl>
    <w:lvl w:ilvl="4">
      <w:start w:val="1"/>
      <w:numFmt w:val="bullet"/>
      <w:lvlText w:val="o"/>
      <w:lvlJc w:val="left"/>
      <w:pPr>
        <w:ind w:left="3316" w:hanging="360"/>
      </w:pPr>
      <w:rPr>
        <w:rFonts w:ascii="Courier New" w:hAnsi="Courier New" w:cs="Courier New" w:hint="default"/>
        <w:rFonts w:cs="Courier New"/>
      </w:rPr>
    </w:lvl>
    <w:lvl w:ilvl="5">
      <w:start w:val="1"/>
      <w:numFmt w:val="bullet"/>
      <w:lvlText w:val=""/>
      <w:lvlJc w:val="left"/>
      <w:pPr>
        <w:ind w:left="4036" w:hanging="360"/>
      </w:pPr>
      <w:rPr>
        <w:rFonts w:ascii="Wingdings" w:hAnsi="Wingdings" w:cs="Wingdings" w:hint="default"/>
        <w:rFonts w:cs="Wingdings"/>
      </w:rPr>
    </w:lvl>
    <w:lvl w:ilvl="6">
      <w:start w:val="1"/>
      <w:numFmt w:val="bullet"/>
      <w:lvlText w:val=""/>
      <w:lvlJc w:val="left"/>
      <w:pPr>
        <w:ind w:left="4756" w:hanging="360"/>
      </w:pPr>
      <w:rPr>
        <w:rFonts w:ascii="Symbol" w:hAnsi="Symbol" w:cs="Symbol" w:hint="default"/>
        <w:rFonts w:cs="Symbol"/>
      </w:rPr>
    </w:lvl>
    <w:lvl w:ilvl="7">
      <w:start w:val="1"/>
      <w:numFmt w:val="bullet"/>
      <w:lvlText w:val="o"/>
      <w:lvlJc w:val="left"/>
      <w:pPr>
        <w:ind w:left="5476" w:hanging="360"/>
      </w:pPr>
      <w:rPr>
        <w:rFonts w:ascii="Courier New" w:hAnsi="Courier New" w:cs="Courier New" w:hint="default"/>
        <w:rFonts w:cs="Courier New"/>
      </w:rPr>
    </w:lvl>
    <w:lvl w:ilvl="8">
      <w:start w:val="1"/>
      <w:numFmt w:val="bullet"/>
      <w:lvlText w:val=""/>
      <w:lvlJc w:val="left"/>
      <w:pPr>
        <w:ind w:left="6196" w:hanging="360"/>
      </w:pPr>
      <w:rPr>
        <w:rFonts w:ascii="Wingdings" w:hAnsi="Wingdings" w:cs="Wingdings" w:hint="default"/>
        <w:rFonts w:cs="Wingdings"/>
      </w:rPr>
    </w:lvl>
  </w:abstractNum>
  <w:abstractNum w:abstractNumId="9">
    <w:lvl w:ilvl="0">
      <w:start w:val="1"/>
      <w:numFmt w:val="bullet"/>
      <w:lvlText w:val=""/>
      <w:lvlJc w:val="left"/>
      <w:pPr>
        <w:ind w:left="1080" w:hanging="0"/>
      </w:pPr>
      <w:rPr>
        <w:rFonts w:ascii="Wingdings" w:hAnsi="Wingdings" w:cs="Wingdings" w:hint="default"/>
        <w:dstrike w:val="false"/>
        <w:strike w:val="false"/>
        <w:vertAlign w:val="baseline"/>
        <w:position w:val="0"/>
        <w:sz w:val="24"/>
        <w:sz w:val="24"/>
        <w:i w:val="false"/>
        <w:u w:val="none" w:color="000000"/>
        <w:b/>
        <w:szCs w:val="24"/>
        <w:rFonts w:cs="Wingdings"/>
        <w:color w:val="1F000F"/>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1080" w:hanging="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bullet"/>
      <w:lvlText w:val="•"/>
      <w:lvlJc w:val="left"/>
      <w:pPr>
        <w:ind w:left="436" w:hanging="360"/>
      </w:pPr>
      <w:rPr>
        <w:rFonts w:ascii="Arial" w:hAnsi="Arial" w:cs="Arial" w:hint="default"/>
        <w:dstrike w:val="false"/>
        <w:strike w:val="false"/>
        <w:vertAlign w:val="baseline"/>
        <w:position w:val="0"/>
        <w:sz w:val="24"/>
        <w:sz w:val="24"/>
        <w:i w:val="false"/>
        <w:u w:val="none" w:color="000000"/>
        <w:b w:val="false"/>
        <w:szCs w:val="24"/>
        <w:rFonts w:cs="Arial"/>
        <w:color w:val="1F000F"/>
      </w:rPr>
    </w:lvl>
    <w:lvl w:ilvl="1">
      <w:start w:val="1"/>
      <w:numFmt w:val="bullet"/>
      <w:lvlText w:val="o"/>
      <w:lvlJc w:val="left"/>
      <w:pPr>
        <w:ind w:left="1156" w:hanging="360"/>
      </w:pPr>
      <w:rPr>
        <w:rFonts w:ascii="Courier New" w:hAnsi="Courier New" w:cs="Courier New" w:hint="default"/>
        <w:rFonts w:cs="Courier New"/>
      </w:rPr>
    </w:lvl>
    <w:lvl w:ilvl="2">
      <w:start w:val="1"/>
      <w:numFmt w:val="bullet"/>
      <w:lvlText w:val=""/>
      <w:lvlJc w:val="left"/>
      <w:pPr>
        <w:ind w:left="1876" w:hanging="360"/>
      </w:pPr>
      <w:rPr>
        <w:rFonts w:ascii="Wingdings" w:hAnsi="Wingdings" w:cs="Wingdings" w:hint="default"/>
        <w:rFonts w:cs="Wingdings"/>
      </w:rPr>
    </w:lvl>
    <w:lvl w:ilvl="3">
      <w:start w:val="1"/>
      <w:numFmt w:val="bullet"/>
      <w:lvlText w:val=""/>
      <w:lvlJc w:val="left"/>
      <w:pPr>
        <w:ind w:left="2596" w:hanging="360"/>
      </w:pPr>
      <w:rPr>
        <w:rFonts w:ascii="Symbol" w:hAnsi="Symbol" w:cs="Symbol" w:hint="default"/>
        <w:rFonts w:cs="Symbol"/>
      </w:rPr>
    </w:lvl>
    <w:lvl w:ilvl="4">
      <w:start w:val="1"/>
      <w:numFmt w:val="bullet"/>
      <w:lvlText w:val="o"/>
      <w:lvlJc w:val="left"/>
      <w:pPr>
        <w:ind w:left="3316" w:hanging="360"/>
      </w:pPr>
      <w:rPr>
        <w:rFonts w:ascii="Courier New" w:hAnsi="Courier New" w:cs="Courier New" w:hint="default"/>
        <w:rFonts w:cs="Courier New"/>
      </w:rPr>
    </w:lvl>
    <w:lvl w:ilvl="5">
      <w:start w:val="1"/>
      <w:numFmt w:val="bullet"/>
      <w:lvlText w:val=""/>
      <w:lvlJc w:val="left"/>
      <w:pPr>
        <w:ind w:left="4036" w:hanging="360"/>
      </w:pPr>
      <w:rPr>
        <w:rFonts w:ascii="Wingdings" w:hAnsi="Wingdings" w:cs="Wingdings" w:hint="default"/>
        <w:rFonts w:cs="Wingdings"/>
      </w:rPr>
    </w:lvl>
    <w:lvl w:ilvl="6">
      <w:start w:val="1"/>
      <w:numFmt w:val="bullet"/>
      <w:lvlText w:val=""/>
      <w:lvlJc w:val="left"/>
      <w:pPr>
        <w:ind w:left="4756" w:hanging="360"/>
      </w:pPr>
      <w:rPr>
        <w:rFonts w:ascii="Symbol" w:hAnsi="Symbol" w:cs="Symbol" w:hint="default"/>
        <w:rFonts w:cs="Symbol"/>
      </w:rPr>
    </w:lvl>
    <w:lvl w:ilvl="7">
      <w:start w:val="1"/>
      <w:numFmt w:val="bullet"/>
      <w:lvlText w:val="o"/>
      <w:lvlJc w:val="left"/>
      <w:pPr>
        <w:ind w:left="5476" w:hanging="360"/>
      </w:pPr>
      <w:rPr>
        <w:rFonts w:ascii="Courier New" w:hAnsi="Courier New" w:cs="Courier New" w:hint="default"/>
        <w:rFonts w:cs="Courier New"/>
      </w:rPr>
    </w:lvl>
    <w:lvl w:ilvl="8">
      <w:start w:val="1"/>
      <w:numFmt w:val="bullet"/>
      <w:lvlText w:val=""/>
      <w:lvlJc w:val="left"/>
      <w:pPr>
        <w:ind w:left="6196" w:hanging="360"/>
      </w:pPr>
      <w:rPr>
        <w:rFonts w:ascii="Wingdings" w:hAnsi="Wingdings" w:cs="Wingdings" w:hint="default"/>
        <w:rFonts w:cs="Wingdings"/>
      </w:rPr>
    </w:lvl>
  </w:abstractNum>
  <w:abstractNum w:abstractNumId="13">
    <w:lvl w:ilvl="0">
      <w:start w:val="1"/>
      <w:numFmt w:val="bullet"/>
      <w:lvlText w:val=""/>
      <w:lvlJc w:val="left"/>
      <w:pPr>
        <w:ind w:left="436" w:hanging="360"/>
      </w:pPr>
      <w:rPr>
        <w:rFonts w:ascii="Symbol" w:hAnsi="Symbol" w:cs="Symbol" w:hint="default"/>
        <w:rFonts w:cs="Symbol"/>
      </w:rPr>
    </w:lvl>
    <w:lvl w:ilvl="1">
      <w:start w:val="1"/>
      <w:numFmt w:val="bullet"/>
      <w:lvlText w:val="o"/>
      <w:lvlJc w:val="left"/>
      <w:pPr>
        <w:ind w:left="1156" w:hanging="360"/>
      </w:pPr>
      <w:rPr>
        <w:rFonts w:ascii="Courier New" w:hAnsi="Courier New" w:cs="Courier New" w:hint="default"/>
        <w:rFonts w:cs="Courier New"/>
      </w:rPr>
    </w:lvl>
    <w:lvl w:ilvl="2">
      <w:start w:val="1"/>
      <w:numFmt w:val="bullet"/>
      <w:lvlText w:val=""/>
      <w:lvlJc w:val="left"/>
      <w:pPr>
        <w:ind w:left="1876" w:hanging="360"/>
      </w:pPr>
      <w:rPr>
        <w:rFonts w:ascii="Wingdings" w:hAnsi="Wingdings" w:cs="Wingdings" w:hint="default"/>
        <w:rFonts w:cs="Wingdings"/>
      </w:rPr>
    </w:lvl>
    <w:lvl w:ilvl="3">
      <w:start w:val="1"/>
      <w:numFmt w:val="bullet"/>
      <w:lvlText w:val=""/>
      <w:lvlJc w:val="left"/>
      <w:pPr>
        <w:ind w:left="2596" w:hanging="360"/>
      </w:pPr>
      <w:rPr>
        <w:rFonts w:ascii="Symbol" w:hAnsi="Symbol" w:cs="Symbol" w:hint="default"/>
        <w:rFonts w:cs="Symbol"/>
      </w:rPr>
    </w:lvl>
    <w:lvl w:ilvl="4">
      <w:start w:val="1"/>
      <w:numFmt w:val="bullet"/>
      <w:lvlText w:val="o"/>
      <w:lvlJc w:val="left"/>
      <w:pPr>
        <w:ind w:left="3316" w:hanging="360"/>
      </w:pPr>
      <w:rPr>
        <w:rFonts w:ascii="Courier New" w:hAnsi="Courier New" w:cs="Courier New" w:hint="default"/>
        <w:rFonts w:cs="Courier New"/>
      </w:rPr>
    </w:lvl>
    <w:lvl w:ilvl="5">
      <w:start w:val="1"/>
      <w:numFmt w:val="bullet"/>
      <w:lvlText w:val=""/>
      <w:lvlJc w:val="left"/>
      <w:pPr>
        <w:ind w:left="4036" w:hanging="360"/>
      </w:pPr>
      <w:rPr>
        <w:rFonts w:ascii="Wingdings" w:hAnsi="Wingdings" w:cs="Wingdings" w:hint="default"/>
        <w:rFonts w:cs="Wingdings"/>
      </w:rPr>
    </w:lvl>
    <w:lvl w:ilvl="6">
      <w:start w:val="1"/>
      <w:numFmt w:val="bullet"/>
      <w:lvlText w:val=""/>
      <w:lvlJc w:val="left"/>
      <w:pPr>
        <w:ind w:left="4756" w:hanging="360"/>
      </w:pPr>
      <w:rPr>
        <w:rFonts w:ascii="Symbol" w:hAnsi="Symbol" w:cs="Symbol" w:hint="default"/>
        <w:rFonts w:cs="Symbol"/>
      </w:rPr>
    </w:lvl>
    <w:lvl w:ilvl="7">
      <w:start w:val="1"/>
      <w:numFmt w:val="bullet"/>
      <w:lvlText w:val="o"/>
      <w:lvlJc w:val="left"/>
      <w:pPr>
        <w:ind w:left="5476" w:hanging="360"/>
      </w:pPr>
      <w:rPr>
        <w:rFonts w:ascii="Courier New" w:hAnsi="Courier New" w:cs="Courier New" w:hint="default"/>
        <w:rFonts w:cs="Courier New"/>
      </w:rPr>
    </w:lvl>
    <w:lvl w:ilvl="8">
      <w:start w:val="1"/>
      <w:numFmt w:val="bullet"/>
      <w:lvlText w:val=""/>
      <w:lvlJc w:val="left"/>
      <w:pPr>
        <w:ind w:left="6196" w:hanging="360"/>
      </w:pPr>
      <w:rPr>
        <w:rFonts w:ascii="Wingdings" w:hAnsi="Wingdings" w:cs="Wingdings" w:hint="default"/>
        <w:rFonts w:cs="Wingdings"/>
      </w:rPr>
    </w:lvl>
  </w:abstractNum>
  <w:abstractNum w:abstractNumId="14">
    <w:lvl w:ilvl="0">
      <w:start w:val="1"/>
      <w:numFmt w:val="decimal"/>
      <w:lvlText w:val="%1."/>
      <w:lvlJc w:val="left"/>
      <w:pPr>
        <w:ind w:left="658" w:hanging="360"/>
      </w:pPr>
    </w:lvl>
    <w:lvl w:ilvl="1">
      <w:start w:val="1"/>
      <w:numFmt w:val="lowerLetter"/>
      <w:lvlText w:val="%2."/>
      <w:lvlJc w:val="left"/>
      <w:pPr>
        <w:ind w:left="1378" w:hanging="360"/>
      </w:pPr>
    </w:lvl>
    <w:lvl w:ilvl="2">
      <w:start w:val="1"/>
      <w:numFmt w:val="lowerRoman"/>
      <w:lvlText w:val="%3."/>
      <w:lvlJc w:val="right"/>
      <w:pPr>
        <w:ind w:left="2098" w:hanging="180"/>
      </w:pPr>
    </w:lvl>
    <w:lvl w:ilvl="3">
      <w:start w:val="1"/>
      <w:numFmt w:val="decimal"/>
      <w:lvlText w:val="%4."/>
      <w:lvlJc w:val="left"/>
      <w:pPr>
        <w:ind w:left="2818" w:hanging="360"/>
      </w:pPr>
    </w:lvl>
    <w:lvl w:ilvl="4">
      <w:start w:val="1"/>
      <w:numFmt w:val="lowerLetter"/>
      <w:lvlText w:val="%5."/>
      <w:lvlJc w:val="left"/>
      <w:pPr>
        <w:ind w:left="3538" w:hanging="360"/>
      </w:pPr>
    </w:lvl>
    <w:lvl w:ilvl="5">
      <w:start w:val="1"/>
      <w:numFmt w:val="lowerRoman"/>
      <w:lvlText w:val="%6."/>
      <w:lvlJc w:val="right"/>
      <w:pPr>
        <w:ind w:left="4258" w:hanging="180"/>
      </w:pPr>
    </w:lvl>
    <w:lvl w:ilvl="6">
      <w:start w:val="1"/>
      <w:numFmt w:val="decimal"/>
      <w:lvlText w:val="%7."/>
      <w:lvlJc w:val="left"/>
      <w:pPr>
        <w:ind w:left="4978" w:hanging="360"/>
      </w:pPr>
    </w:lvl>
    <w:lvl w:ilvl="7">
      <w:start w:val="1"/>
      <w:numFmt w:val="lowerLetter"/>
      <w:lvlText w:val="%8."/>
      <w:lvlJc w:val="left"/>
      <w:pPr>
        <w:ind w:left="5698" w:hanging="360"/>
      </w:pPr>
    </w:lvl>
    <w:lvl w:ilvl="8">
      <w:start w:val="1"/>
      <w:numFmt w:val="lowerRoman"/>
      <w:lvlText w:val="%9."/>
      <w:lvlJc w:val="right"/>
      <w:pPr>
        <w:ind w:left="6418" w:hanging="180"/>
      </w:pPr>
    </w:lvl>
  </w:abstractNum>
  <w:abstractNum w:abstractNumId="1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6">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7">
    <w:lvl w:ilvl="0">
      <w:start w:val="1"/>
      <w:numFmt w:val="bullet"/>
      <w:lvlText w:val=""/>
      <w:lvlJc w:val="left"/>
      <w:pPr>
        <w:ind w:left="1018" w:hanging="360"/>
      </w:pPr>
      <w:rPr>
        <w:rFonts w:ascii="Wingdings" w:hAnsi="Wingdings" w:cs="Wingdings" w:hint="default"/>
        <w:b/>
        <w:rFonts w:cs="Wingdings"/>
      </w:rPr>
    </w:lvl>
    <w:lvl w:ilvl="1">
      <w:start w:val="1"/>
      <w:numFmt w:val="bullet"/>
      <w:lvlText w:val="o"/>
      <w:lvlJc w:val="left"/>
      <w:pPr>
        <w:ind w:left="1738" w:hanging="360"/>
      </w:pPr>
      <w:rPr>
        <w:rFonts w:ascii="Courier New" w:hAnsi="Courier New" w:cs="Courier New" w:hint="default"/>
        <w:rFonts w:cs="Courier New"/>
      </w:rPr>
    </w:lvl>
    <w:lvl w:ilvl="2">
      <w:start w:val="1"/>
      <w:numFmt w:val="bullet"/>
      <w:lvlText w:val=""/>
      <w:lvlJc w:val="left"/>
      <w:pPr>
        <w:ind w:left="2458" w:hanging="360"/>
      </w:pPr>
      <w:rPr>
        <w:rFonts w:ascii="Wingdings" w:hAnsi="Wingdings" w:cs="Wingdings" w:hint="default"/>
        <w:rFonts w:cs="Wingdings"/>
      </w:rPr>
    </w:lvl>
    <w:lvl w:ilvl="3">
      <w:start w:val="1"/>
      <w:numFmt w:val="bullet"/>
      <w:lvlText w:val=""/>
      <w:lvlJc w:val="left"/>
      <w:pPr>
        <w:ind w:left="3178" w:hanging="360"/>
      </w:pPr>
      <w:rPr>
        <w:rFonts w:ascii="Symbol" w:hAnsi="Symbol" w:cs="Symbol" w:hint="default"/>
        <w:rFonts w:cs="Symbol"/>
      </w:rPr>
    </w:lvl>
    <w:lvl w:ilvl="4">
      <w:start w:val="1"/>
      <w:numFmt w:val="bullet"/>
      <w:lvlText w:val="o"/>
      <w:lvlJc w:val="left"/>
      <w:pPr>
        <w:ind w:left="3898" w:hanging="360"/>
      </w:pPr>
      <w:rPr>
        <w:rFonts w:ascii="Courier New" w:hAnsi="Courier New" w:cs="Courier New" w:hint="default"/>
        <w:rFonts w:cs="Courier New"/>
      </w:rPr>
    </w:lvl>
    <w:lvl w:ilvl="5">
      <w:start w:val="1"/>
      <w:numFmt w:val="bullet"/>
      <w:lvlText w:val=""/>
      <w:lvlJc w:val="left"/>
      <w:pPr>
        <w:ind w:left="4618" w:hanging="360"/>
      </w:pPr>
      <w:rPr>
        <w:rFonts w:ascii="Wingdings" w:hAnsi="Wingdings" w:cs="Wingdings" w:hint="default"/>
        <w:rFonts w:cs="Wingdings"/>
      </w:rPr>
    </w:lvl>
    <w:lvl w:ilvl="6">
      <w:start w:val="1"/>
      <w:numFmt w:val="bullet"/>
      <w:lvlText w:val=""/>
      <w:lvlJc w:val="left"/>
      <w:pPr>
        <w:ind w:left="5338" w:hanging="360"/>
      </w:pPr>
      <w:rPr>
        <w:rFonts w:ascii="Symbol" w:hAnsi="Symbol" w:cs="Symbol" w:hint="default"/>
        <w:rFonts w:cs="Symbol"/>
      </w:rPr>
    </w:lvl>
    <w:lvl w:ilvl="7">
      <w:start w:val="1"/>
      <w:numFmt w:val="bullet"/>
      <w:lvlText w:val="o"/>
      <w:lvlJc w:val="left"/>
      <w:pPr>
        <w:ind w:left="6058" w:hanging="360"/>
      </w:pPr>
      <w:rPr>
        <w:rFonts w:ascii="Courier New" w:hAnsi="Courier New" w:cs="Courier New" w:hint="default"/>
        <w:rFonts w:cs="Courier New"/>
      </w:rPr>
    </w:lvl>
    <w:lvl w:ilvl="8">
      <w:start w:val="1"/>
      <w:numFmt w:val="bullet"/>
      <w:lvlText w:val=""/>
      <w:lvlJc w:val="left"/>
      <w:pPr>
        <w:ind w:left="6778" w:hanging="360"/>
      </w:pPr>
      <w:rPr>
        <w:rFonts w:ascii="Wingdings" w:hAnsi="Wingdings" w:cs="Wingdings" w:hint="default"/>
        <w:rFonts w:cs="Wingdings"/>
      </w:rPr>
    </w:lvl>
  </w:abstractNum>
  <w:abstractNum w:abstractNumId="1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l-PL" w:eastAsia="pl-PL"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47" w:before="0" w:after="5"/>
      <w:ind w:left="298" w:hanging="0"/>
      <w:jc w:val="both"/>
    </w:pPr>
    <w:rPr>
      <w:rFonts w:ascii="Calibri" w:hAnsi="Calibri" w:eastAsia="Calibri" w:cs="Calibri"/>
      <w:color w:val="1F000F"/>
      <w:kern w:val="0"/>
      <w:sz w:val="24"/>
      <w:szCs w:val="22"/>
      <w:lang w:val="pl-PL" w:eastAsia="pl-PL" w:bidi="ar-SA"/>
    </w:rPr>
  </w:style>
  <w:style w:type="paragraph" w:styleId="Nagwek1">
    <w:name w:val="Heading 1"/>
    <w:next w:val="Normal"/>
    <w:link w:val="Nagwek1Znak"/>
    <w:uiPriority w:val="9"/>
    <w:unhideWhenUsed/>
    <w:qFormat/>
    <w:rsid w:val="007c659c"/>
    <w:pPr>
      <w:keepNext w:val="true"/>
      <w:keepLines/>
      <w:widowControl/>
      <w:bidi w:val="0"/>
      <w:spacing w:lineRule="auto" w:line="247" w:before="0" w:after="10"/>
      <w:ind w:left="308" w:right="750" w:hanging="10"/>
      <w:jc w:val="both"/>
      <w:outlineLvl w:val="0"/>
    </w:pPr>
    <w:rPr>
      <w:rFonts w:ascii="Calibri" w:hAnsi="Calibri" w:eastAsia="Calibri" w:cs="Calibri"/>
      <w:b/>
      <w:color w:val="4472C4" w:themeColor="accent1"/>
      <w:kern w:val="0"/>
      <w:sz w:val="28"/>
      <w:szCs w:val="22"/>
      <w:lang w:val="pl-PL" w:eastAsia="pl-PL" w:bidi="ar-SA"/>
    </w:rPr>
  </w:style>
  <w:style w:type="paragraph" w:styleId="Nagwek2">
    <w:name w:val="Heading 2"/>
    <w:basedOn w:val="Normal"/>
    <w:next w:val="Normal"/>
    <w:link w:val="Nagwek2Znak"/>
    <w:uiPriority w:val="9"/>
    <w:unhideWhenUsed/>
    <w:qFormat/>
    <w:rsid w:val="00634db4"/>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Nagwek1Znak" w:customStyle="1">
    <w:name w:val="Nagłówek 1 Znak"/>
    <w:link w:val="Nagwek1"/>
    <w:uiPriority w:val="9"/>
    <w:qFormat/>
    <w:rsid w:val="007c659c"/>
    <w:rPr>
      <w:rFonts w:ascii="Calibri" w:hAnsi="Calibri" w:eastAsia="Calibri" w:cs="Calibri"/>
      <w:b/>
      <w:color w:val="4472C4" w:themeColor="accent1"/>
      <w:sz w:val="28"/>
    </w:rPr>
  </w:style>
  <w:style w:type="character" w:styleId="TekstdymkaZnak" w:customStyle="1">
    <w:name w:val="Tekst dymka Znak"/>
    <w:basedOn w:val="DefaultParagraphFont"/>
    <w:link w:val="Tekstdymka"/>
    <w:uiPriority w:val="99"/>
    <w:semiHidden/>
    <w:qFormat/>
    <w:rsid w:val="00bb7b2c"/>
    <w:rPr>
      <w:rFonts w:ascii="Segoe UI" w:hAnsi="Segoe UI" w:eastAsia="Calibri" w:cs="Segoe UI"/>
      <w:color w:val="1F000F"/>
      <w:sz w:val="18"/>
      <w:szCs w:val="18"/>
    </w:rPr>
  </w:style>
  <w:style w:type="character" w:styleId="Annotationreference">
    <w:name w:val="annotation reference"/>
    <w:basedOn w:val="DefaultParagraphFont"/>
    <w:uiPriority w:val="99"/>
    <w:semiHidden/>
    <w:unhideWhenUsed/>
    <w:qFormat/>
    <w:rsid w:val="009a165a"/>
    <w:rPr>
      <w:sz w:val="16"/>
      <w:szCs w:val="16"/>
    </w:rPr>
  </w:style>
  <w:style w:type="character" w:styleId="TekstkomentarzaZnak" w:customStyle="1">
    <w:name w:val="Tekst komentarza Znak"/>
    <w:basedOn w:val="DefaultParagraphFont"/>
    <w:link w:val="Tekstkomentarza"/>
    <w:uiPriority w:val="99"/>
    <w:semiHidden/>
    <w:qFormat/>
    <w:rsid w:val="009a165a"/>
    <w:rPr>
      <w:rFonts w:ascii="Calibri" w:hAnsi="Calibri" w:eastAsia="Calibri" w:cs="Calibri"/>
      <w:color w:val="1F000F"/>
      <w:sz w:val="20"/>
      <w:szCs w:val="20"/>
    </w:rPr>
  </w:style>
  <w:style w:type="character" w:styleId="TematkomentarzaZnak" w:customStyle="1">
    <w:name w:val="Temat komentarza Znak"/>
    <w:basedOn w:val="TekstkomentarzaZnak"/>
    <w:link w:val="Tematkomentarza"/>
    <w:uiPriority w:val="99"/>
    <w:semiHidden/>
    <w:qFormat/>
    <w:rsid w:val="009a165a"/>
    <w:rPr>
      <w:rFonts w:ascii="Calibri" w:hAnsi="Calibri" w:eastAsia="Calibri" w:cs="Calibri"/>
      <w:b/>
      <w:bCs/>
      <w:color w:val="1F000F"/>
      <w:sz w:val="20"/>
      <w:szCs w:val="20"/>
    </w:rPr>
  </w:style>
  <w:style w:type="character" w:styleId="PlaceholderText">
    <w:name w:val="Placeholder Text"/>
    <w:basedOn w:val="DefaultParagraphFont"/>
    <w:uiPriority w:val="99"/>
    <w:semiHidden/>
    <w:qFormat/>
    <w:rsid w:val="00542736"/>
    <w:rPr>
      <w:color w:val="808080"/>
    </w:rPr>
  </w:style>
  <w:style w:type="character" w:styleId="Czeinternetowe">
    <w:name w:val="Łącze internetowe"/>
    <w:basedOn w:val="DefaultParagraphFont"/>
    <w:uiPriority w:val="99"/>
    <w:unhideWhenUsed/>
    <w:rsid w:val="00cc07d0"/>
    <w:rPr>
      <w:color w:val="0563C1" w:themeColor="hyperlink"/>
      <w:u w:val="single"/>
    </w:rPr>
  </w:style>
  <w:style w:type="character" w:styleId="Strong">
    <w:name w:val="Strong"/>
    <w:basedOn w:val="DefaultParagraphFont"/>
    <w:uiPriority w:val="22"/>
    <w:qFormat/>
    <w:rsid w:val="005c70db"/>
    <w:rPr>
      <w:b/>
      <w:bCs/>
    </w:rPr>
  </w:style>
  <w:style w:type="character" w:styleId="Nagwek2Znak" w:customStyle="1">
    <w:name w:val="Nagłówek 2 Znak"/>
    <w:basedOn w:val="DefaultParagraphFont"/>
    <w:link w:val="Nagwek2"/>
    <w:uiPriority w:val="9"/>
    <w:qFormat/>
    <w:rsid w:val="00634db4"/>
    <w:rPr>
      <w:rFonts w:ascii="Calibri Light" w:hAnsi="Calibri Light" w:eastAsia="" w:cs="" w:asciiTheme="majorHAnsi" w:cstheme="majorBidi" w:eastAsiaTheme="majorEastAsia" w:hAnsiTheme="majorHAnsi"/>
      <w:color w:val="2F5496" w:themeColor="accent1" w:themeShade="bf"/>
      <w:sz w:val="26"/>
      <w:szCs w:val="26"/>
    </w:rPr>
  </w:style>
  <w:style w:type="character" w:styleId="StopkaZnak" w:customStyle="1">
    <w:name w:val="Stopka Znak"/>
    <w:basedOn w:val="DefaultParagraphFont"/>
    <w:link w:val="Stopka"/>
    <w:uiPriority w:val="99"/>
    <w:qFormat/>
    <w:rsid w:val="00af3e68"/>
    <w:rPr>
      <w:rFonts w:cs="Times New Roman"/>
    </w:rPr>
  </w:style>
  <w:style w:type="character" w:styleId="AkapitzlistZnak" w:customStyle="1">
    <w:name w:val="Akapit z listą Znak"/>
    <w:basedOn w:val="DefaultParagraphFont"/>
    <w:link w:val="Akapitzlist"/>
    <w:qFormat/>
    <w:rsid w:val="006a7186"/>
    <w:rPr>
      <w:rFonts w:ascii="Calibri" w:hAnsi="Calibri" w:eastAsia="Calibri" w:cs="Calibri"/>
      <w:color w:val="1F000F"/>
      <w:sz w:val="24"/>
    </w:rPr>
  </w:style>
  <w:style w:type="character" w:styleId="Nierozpoznanawzmianka1" w:customStyle="1">
    <w:name w:val="Nierozpoznana wzmianka1"/>
    <w:basedOn w:val="DefaultParagraphFont"/>
    <w:uiPriority w:val="99"/>
    <w:semiHidden/>
    <w:unhideWhenUsed/>
    <w:qFormat/>
    <w:rsid w:val="00fc7917"/>
    <w:rPr>
      <w:color w:val="605E5C"/>
      <w:shd w:fill="E1DFDD" w:val="clear"/>
    </w:rPr>
  </w:style>
  <w:style w:type="character" w:styleId="PodtytuZnak" w:customStyle="1">
    <w:name w:val="Podtytuł Znak"/>
    <w:basedOn w:val="DefaultParagraphFont"/>
    <w:link w:val="Podtytu"/>
    <w:uiPriority w:val="11"/>
    <w:qFormat/>
    <w:rsid w:val="007d0e6b"/>
    <w:rPr>
      <w:color w:val="5A5A5A" w:themeColor="text1" w:themeTint="a5"/>
      <w:spacing w:val="15"/>
    </w:rPr>
  </w:style>
  <w:style w:type="character" w:styleId="NagwekZnak" w:customStyle="1">
    <w:name w:val="Nagłówek Znak"/>
    <w:basedOn w:val="DefaultParagraphFont"/>
    <w:link w:val="Nagwek"/>
    <w:uiPriority w:val="99"/>
    <w:qFormat/>
    <w:rsid w:val="002e19fe"/>
    <w:rPr>
      <w:rFonts w:ascii="Calibri" w:hAnsi="Calibri" w:eastAsia="Calibri" w:cs="Calibri"/>
      <w:color w:val="1F000F"/>
      <w:sz w:val="24"/>
    </w:rPr>
  </w:style>
  <w:style w:type="character" w:styleId="LegendaZnak" w:customStyle="1">
    <w:name w:val="Legenda Znak"/>
    <w:link w:val="Legenda"/>
    <w:qFormat/>
    <w:rsid w:val="00261753"/>
    <w:rPr>
      <w:rFonts w:eastAsia="Calibri" w:cs="Calibri"/>
      <w:b/>
      <w:bCs/>
      <w:color w:val="4472C4" w:themeColor="accent1"/>
      <w:sz w:val="18"/>
      <w:szCs w:val="18"/>
      <w:lang w:eastAsia="zh-CN"/>
    </w:rPr>
  </w:style>
  <w:style w:type="character" w:styleId="TekstprzypisukocowegoZnak" w:customStyle="1">
    <w:name w:val="Tekst przypisu końcowego Znak"/>
    <w:basedOn w:val="DefaultParagraphFont"/>
    <w:link w:val="Tekstprzypisukocowego"/>
    <w:uiPriority w:val="99"/>
    <w:semiHidden/>
    <w:qFormat/>
    <w:rsid w:val="00492cfa"/>
    <w:rPr>
      <w:rFonts w:ascii="Calibri" w:hAnsi="Calibri" w:eastAsia="Calibri" w:cs="Calibri"/>
      <w:color w:val="1F000F"/>
      <w:sz w:val="20"/>
      <w:szCs w:val="20"/>
    </w:rPr>
  </w:style>
  <w:style w:type="character" w:styleId="Zakotwiczenieprzypisukocowego">
    <w:name w:val="Zakotwiczenie przypisu końcowego"/>
    <w:rPr>
      <w:vertAlign w:val="superscript"/>
    </w:rPr>
  </w:style>
  <w:style w:type="character" w:styleId="EndnoteCharacters">
    <w:name w:val="Endnote Characters"/>
    <w:basedOn w:val="DefaultParagraphFont"/>
    <w:uiPriority w:val="99"/>
    <w:semiHidden/>
    <w:unhideWhenUsed/>
    <w:qFormat/>
    <w:rsid w:val="00492cfa"/>
    <w:rPr>
      <w:vertAlign w:val="superscript"/>
    </w:rPr>
  </w:style>
  <w:style w:type="character" w:styleId="UnresolvedMention">
    <w:name w:val="Unresolved Mention"/>
    <w:basedOn w:val="DefaultParagraphFont"/>
    <w:uiPriority w:val="99"/>
    <w:semiHidden/>
    <w:unhideWhenUsed/>
    <w:qFormat/>
    <w:rsid w:val="00c910bc"/>
    <w:rPr>
      <w:color w:val="605E5C"/>
      <w:shd w:fill="E1DFDD" w:val="clear"/>
    </w:rPr>
  </w:style>
  <w:style w:type="character" w:styleId="ListLabel1">
    <w:name w:val="ListLabel 1"/>
    <w:qFormat/>
    <w:rPr>
      <w:rFonts w:eastAsia="Arial" w:cs="Arial"/>
      <w:b w:val="false"/>
      <w:i w:val="false"/>
      <w:strike w:val="false"/>
      <w:dstrike w:val="false"/>
      <w:color w:val="1F000F"/>
      <w:position w:val="0"/>
      <w:sz w:val="24"/>
      <w:sz w:val="24"/>
      <w:szCs w:val="24"/>
      <w:u w:val="none" w:color="000000"/>
      <w:vertAlign w:val="baseline"/>
    </w:rPr>
  </w:style>
  <w:style w:type="character" w:styleId="ListLabel2">
    <w:name w:val="ListLabel 2"/>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
    <w:name w:val="ListLabel 3"/>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4">
    <w:name w:val="ListLabel 4"/>
    <w:qFormat/>
    <w:rPr>
      <w:rFonts w:eastAsia="Arial" w:cs="Arial"/>
      <w:b w:val="false"/>
      <w:i w:val="false"/>
      <w:strike w:val="false"/>
      <w:dstrike w:val="false"/>
      <w:color w:val="1F000F"/>
      <w:position w:val="0"/>
      <w:sz w:val="24"/>
      <w:sz w:val="24"/>
      <w:szCs w:val="24"/>
      <w:u w:val="none" w:color="000000"/>
      <w:vertAlign w:val="baseline"/>
    </w:rPr>
  </w:style>
  <w:style w:type="character" w:styleId="ListLabel5">
    <w:name w:val="ListLabel 5"/>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6">
    <w:name w:val="ListLabel 6"/>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7">
    <w:name w:val="ListLabel 7"/>
    <w:qFormat/>
    <w:rPr>
      <w:rFonts w:eastAsia="Arial" w:cs="Arial"/>
      <w:b w:val="false"/>
      <w:i w:val="false"/>
      <w:strike w:val="false"/>
      <w:dstrike w:val="false"/>
      <w:color w:val="1F000F"/>
      <w:position w:val="0"/>
      <w:sz w:val="24"/>
      <w:sz w:val="24"/>
      <w:szCs w:val="24"/>
      <w:u w:val="none" w:color="000000"/>
      <w:vertAlign w:val="baseline"/>
    </w:rPr>
  </w:style>
  <w:style w:type="character" w:styleId="ListLabel8">
    <w:name w:val="ListLabel 8"/>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9">
    <w:name w:val="ListLabel 9"/>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0">
    <w:name w:val="ListLabel 10"/>
    <w:qFormat/>
    <w:rPr>
      <w:rFonts w:eastAsia="Arial" w:cs="Arial"/>
      <w:b w:val="false"/>
      <w:i w:val="false"/>
      <w:strike w:val="false"/>
      <w:dstrike w:val="false"/>
      <w:color w:val="1F000F"/>
      <w:position w:val="0"/>
      <w:sz w:val="24"/>
      <w:sz w:val="24"/>
      <w:szCs w:val="24"/>
      <w:u w:val="none" w:color="000000"/>
      <w:vertAlign w:val="baseline"/>
    </w:rPr>
  </w:style>
  <w:style w:type="character" w:styleId="ListLabel11">
    <w:name w:val="ListLabel 11"/>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2">
    <w:name w:val="ListLabel 12"/>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3">
    <w:name w:val="ListLabel 13"/>
    <w:qFormat/>
    <w:rPr>
      <w:rFonts w:eastAsia="Arial" w:cs="Arial"/>
      <w:b w:val="false"/>
      <w:i w:val="false"/>
      <w:strike w:val="false"/>
      <w:dstrike w:val="false"/>
      <w:color w:val="1F000F"/>
      <w:position w:val="0"/>
      <w:sz w:val="24"/>
      <w:sz w:val="24"/>
      <w:szCs w:val="24"/>
      <w:u w:val="none" w:color="000000"/>
      <w:vertAlign w:val="baseline"/>
    </w:rPr>
  </w:style>
  <w:style w:type="character" w:styleId="ListLabel14">
    <w:name w:val="ListLabel 14"/>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5">
    <w:name w:val="ListLabel 15"/>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6">
    <w:name w:val="ListLabel 16"/>
    <w:qFormat/>
    <w:rPr>
      <w:rFonts w:eastAsia="Arial" w:cs="Arial"/>
      <w:b w:val="false"/>
      <w:i w:val="false"/>
      <w:strike w:val="false"/>
      <w:dstrike w:val="false"/>
      <w:color w:val="1F000F"/>
      <w:position w:val="0"/>
      <w:sz w:val="24"/>
      <w:sz w:val="24"/>
      <w:szCs w:val="24"/>
      <w:u w:val="none" w:color="000000"/>
      <w:vertAlign w:val="baseline"/>
    </w:rPr>
  </w:style>
  <w:style w:type="character" w:styleId="ListLabel17">
    <w:name w:val="ListLabel 17"/>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8">
    <w:name w:val="ListLabel 18"/>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19">
    <w:name w:val="ListLabel 19"/>
    <w:qFormat/>
    <w:rPr>
      <w:rFonts w:eastAsia="Calibri" w:cs="Calibri"/>
      <w:b w:val="false"/>
      <w:i w:val="false"/>
      <w:strike w:val="false"/>
      <w:dstrike w:val="false"/>
      <w:color w:val="1F3864"/>
      <w:position w:val="0"/>
      <w:sz w:val="24"/>
      <w:sz w:val="24"/>
      <w:szCs w:val="24"/>
      <w:u w:val="none" w:color="000000"/>
      <w:vertAlign w:val="baseline"/>
    </w:rPr>
  </w:style>
  <w:style w:type="character" w:styleId="ListLabel20">
    <w:name w:val="ListLabel 20"/>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1">
    <w:name w:val="ListLabel 21"/>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2">
    <w:name w:val="ListLabel 22"/>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3">
    <w:name w:val="ListLabel 23"/>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4">
    <w:name w:val="ListLabel 24"/>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5">
    <w:name w:val="ListLabel 25"/>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6">
    <w:name w:val="ListLabel 26"/>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7">
    <w:name w:val="ListLabel 27"/>
    <w:qFormat/>
    <w:rPr>
      <w:rFonts w:eastAsia="Calibri" w:cs="Calibri"/>
      <w:b w:val="false"/>
      <w:i w:val="false"/>
      <w:strike w:val="false"/>
      <w:dstrike w:val="false"/>
      <w:color w:val="1F000F"/>
      <w:position w:val="0"/>
      <w:sz w:val="24"/>
      <w:sz w:val="24"/>
      <w:szCs w:val="24"/>
      <w:u w:val="none" w:color="000000"/>
      <w:vertAlign w:val="baseline"/>
    </w:rPr>
  </w:style>
  <w:style w:type="character" w:styleId="ListLabel28">
    <w:name w:val="ListLabel 28"/>
    <w:qFormat/>
    <w:rPr>
      <w:rFonts w:eastAsia="Arial" w:cs="Arial"/>
      <w:b w:val="false"/>
      <w:i w:val="false"/>
      <w:strike w:val="false"/>
      <w:dstrike w:val="false"/>
      <w:color w:val="1F000F"/>
      <w:position w:val="0"/>
      <w:sz w:val="24"/>
      <w:sz w:val="24"/>
      <w:szCs w:val="24"/>
      <w:u w:val="none" w:color="000000"/>
      <w:vertAlign w:val="baseline"/>
    </w:rPr>
  </w:style>
  <w:style w:type="character" w:styleId="ListLabel29">
    <w:name w:val="ListLabel 29"/>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0">
    <w:name w:val="ListLabel 30"/>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1">
    <w:name w:val="ListLabel 31"/>
    <w:qFormat/>
    <w:rPr>
      <w:rFonts w:eastAsia="Arial" w:cs="Arial"/>
      <w:b w:val="false"/>
      <w:i w:val="false"/>
      <w:strike w:val="false"/>
      <w:dstrike w:val="false"/>
      <w:color w:val="1F000F"/>
      <w:position w:val="0"/>
      <w:sz w:val="24"/>
      <w:sz w:val="24"/>
      <w:szCs w:val="24"/>
      <w:u w:val="none" w:color="000000"/>
      <w:vertAlign w:val="baseline"/>
    </w:rPr>
  </w:style>
  <w:style w:type="character" w:styleId="ListLabel32">
    <w:name w:val="ListLabel 32"/>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3">
    <w:name w:val="ListLabel 33"/>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4">
    <w:name w:val="ListLabel 34"/>
    <w:qFormat/>
    <w:rPr>
      <w:rFonts w:eastAsia="Arial" w:cs="Arial"/>
      <w:b w:val="false"/>
      <w:i w:val="false"/>
      <w:strike w:val="false"/>
      <w:dstrike w:val="false"/>
      <w:color w:val="1F000F"/>
      <w:position w:val="0"/>
      <w:sz w:val="24"/>
      <w:sz w:val="24"/>
      <w:szCs w:val="24"/>
      <w:u w:val="none" w:color="000000"/>
      <w:vertAlign w:val="baseline"/>
    </w:rPr>
  </w:style>
  <w:style w:type="character" w:styleId="ListLabel35">
    <w:name w:val="ListLabel 35"/>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6">
    <w:name w:val="ListLabel 36"/>
    <w:qFormat/>
    <w:rPr>
      <w:rFonts w:eastAsia="Segoe UI Symbol" w:cs="Segoe UI Symbol"/>
      <w:b w:val="false"/>
      <w:i w:val="false"/>
      <w:strike w:val="false"/>
      <w:dstrike w:val="false"/>
      <w:color w:val="1F000F"/>
      <w:position w:val="0"/>
      <w:sz w:val="24"/>
      <w:sz w:val="24"/>
      <w:szCs w:val="24"/>
      <w:u w:val="none" w:color="000000"/>
      <w:vertAlign w:val="baseline"/>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b/>
      <w:i w:val="false"/>
      <w:strike w:val="false"/>
      <w:dstrike w:val="false"/>
      <w:color w:val="1F000F"/>
      <w:position w:val="0"/>
      <w:sz w:val="24"/>
      <w:sz w:val="24"/>
      <w:szCs w:val="24"/>
      <w:u w:val="none" w:color="000000"/>
      <w:vertAlign w:val="baseline"/>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eastAsia="Arial" w:cs="Arial"/>
      <w:b w:val="false"/>
      <w:i w:val="false"/>
      <w:strike w:val="false"/>
      <w:dstrike w:val="false"/>
      <w:color w:val="1F000F"/>
      <w:position w:val="0"/>
      <w:sz w:val="24"/>
      <w:sz w:val="24"/>
      <w:szCs w:val="24"/>
      <w:u w:val="none" w:color="000000"/>
      <w:vertAlign w:val="baseline"/>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eastAsia="Arial" w:cs="Arial"/>
      <w:b w:val="false"/>
      <w:i w:val="false"/>
      <w:strike w:val="false"/>
      <w:dstrike w:val="false"/>
      <w:color w:val="1F000F"/>
      <w:position w:val="0"/>
      <w:sz w:val="24"/>
      <w:sz w:val="24"/>
      <w:szCs w:val="24"/>
      <w:u w:val="none" w:color="000000"/>
      <w:vertAlign w:val="baseline"/>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eastAsia="Arial" w:cs="Arial"/>
      <w:b w:val="false"/>
      <w:i w:val="false"/>
      <w:strike w:val="false"/>
      <w:dstrike w:val="false"/>
      <w:color w:val="1F000F"/>
      <w:position w:val="0"/>
      <w:sz w:val="24"/>
      <w:sz w:val="24"/>
      <w:szCs w:val="24"/>
      <w:u w:val="none" w:color="000000"/>
      <w:vertAlign w:val="baseline"/>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Czeindeksu">
    <w:name w:val="Łącze indeksu"/>
    <w:qFormat/>
    <w:rPr/>
  </w:style>
  <w:style w:type="character" w:styleId="ListLabel107">
    <w:name w:val="ListLabel 107"/>
    <w:qFormat/>
    <w:rPr>
      <w:rFonts w:ascii="Calibri" w:hAnsi="Calibri" w:cs="Arial"/>
      <w:b w:val="false"/>
      <w:i w:val="false"/>
      <w:strike w:val="false"/>
      <w:dstrike w:val="false"/>
      <w:color w:val="1F000F"/>
      <w:position w:val="0"/>
      <w:sz w:val="24"/>
      <w:sz w:val="24"/>
      <w:szCs w:val="24"/>
      <w:u w:val="none" w:color="000000"/>
      <w:vertAlign w:val="baseline"/>
    </w:rPr>
  </w:style>
  <w:style w:type="character" w:styleId="ListLabel108">
    <w:name w:val="ListLabel 108"/>
    <w:qFormat/>
    <w:rPr>
      <w:rFonts w:cs="Segoe UI Symbol"/>
      <w:b w:val="false"/>
      <w:i w:val="false"/>
      <w:strike w:val="false"/>
      <w:dstrike w:val="false"/>
      <w:color w:val="1F000F"/>
      <w:position w:val="0"/>
      <w:sz w:val="24"/>
      <w:sz w:val="24"/>
      <w:szCs w:val="24"/>
      <w:u w:val="none" w:color="000000"/>
      <w:vertAlign w:val="baseline"/>
    </w:rPr>
  </w:style>
  <w:style w:type="character" w:styleId="ListLabel109">
    <w:name w:val="ListLabel 109"/>
    <w:qFormat/>
    <w:rPr>
      <w:rFonts w:cs="Segoe UI Symbol"/>
      <w:b w:val="false"/>
      <w:i w:val="false"/>
      <w:strike w:val="false"/>
      <w:dstrike w:val="false"/>
      <w:color w:val="1F000F"/>
      <w:position w:val="0"/>
      <w:sz w:val="24"/>
      <w:sz w:val="24"/>
      <w:szCs w:val="24"/>
      <w:u w:val="none" w:color="000000"/>
      <w:vertAlign w:val="baseline"/>
    </w:rPr>
  </w:style>
  <w:style w:type="character" w:styleId="ListLabel110">
    <w:name w:val="ListLabel 110"/>
    <w:qFormat/>
    <w:rPr>
      <w:rFonts w:cs="Arial"/>
      <w:b w:val="false"/>
      <w:i w:val="false"/>
      <w:strike w:val="false"/>
      <w:dstrike w:val="false"/>
      <w:color w:val="1F000F"/>
      <w:position w:val="0"/>
      <w:sz w:val="24"/>
      <w:sz w:val="24"/>
      <w:szCs w:val="24"/>
      <w:u w:val="none" w:color="000000"/>
      <w:vertAlign w:val="baseline"/>
    </w:rPr>
  </w:style>
  <w:style w:type="character" w:styleId="ListLabel111">
    <w:name w:val="ListLabel 111"/>
    <w:qFormat/>
    <w:rPr>
      <w:rFonts w:cs="Segoe UI Symbol"/>
      <w:b w:val="false"/>
      <w:i w:val="false"/>
      <w:strike w:val="false"/>
      <w:dstrike w:val="false"/>
      <w:color w:val="1F000F"/>
      <w:position w:val="0"/>
      <w:sz w:val="24"/>
      <w:sz w:val="24"/>
      <w:szCs w:val="24"/>
      <w:u w:val="none" w:color="000000"/>
      <w:vertAlign w:val="baseline"/>
    </w:rPr>
  </w:style>
  <w:style w:type="character" w:styleId="ListLabel112">
    <w:name w:val="ListLabel 112"/>
    <w:qFormat/>
    <w:rPr>
      <w:rFonts w:cs="Segoe UI Symbol"/>
      <w:b w:val="false"/>
      <w:i w:val="false"/>
      <w:strike w:val="false"/>
      <w:dstrike w:val="false"/>
      <w:color w:val="1F000F"/>
      <w:position w:val="0"/>
      <w:sz w:val="24"/>
      <w:sz w:val="24"/>
      <w:szCs w:val="24"/>
      <w:u w:val="none" w:color="000000"/>
      <w:vertAlign w:val="baseline"/>
    </w:rPr>
  </w:style>
  <w:style w:type="character" w:styleId="ListLabel113">
    <w:name w:val="ListLabel 113"/>
    <w:qFormat/>
    <w:rPr>
      <w:rFonts w:cs="Arial"/>
      <w:b w:val="false"/>
      <w:i w:val="false"/>
      <w:strike w:val="false"/>
      <w:dstrike w:val="false"/>
      <w:color w:val="1F000F"/>
      <w:position w:val="0"/>
      <w:sz w:val="24"/>
      <w:sz w:val="24"/>
      <w:szCs w:val="24"/>
      <w:u w:val="none" w:color="000000"/>
      <w:vertAlign w:val="baseline"/>
    </w:rPr>
  </w:style>
  <w:style w:type="character" w:styleId="ListLabel114">
    <w:name w:val="ListLabel 114"/>
    <w:qFormat/>
    <w:rPr>
      <w:rFonts w:cs="Segoe UI Symbol"/>
      <w:b w:val="false"/>
      <w:i w:val="false"/>
      <w:strike w:val="false"/>
      <w:dstrike w:val="false"/>
      <w:color w:val="1F000F"/>
      <w:position w:val="0"/>
      <w:sz w:val="24"/>
      <w:sz w:val="24"/>
      <w:szCs w:val="24"/>
      <w:u w:val="none" w:color="000000"/>
      <w:vertAlign w:val="baseline"/>
    </w:rPr>
  </w:style>
  <w:style w:type="character" w:styleId="ListLabel115">
    <w:name w:val="ListLabel 115"/>
    <w:qFormat/>
    <w:rPr>
      <w:rFonts w:cs="Segoe UI Symbol"/>
      <w:b w:val="false"/>
      <w:i w:val="false"/>
      <w:strike w:val="false"/>
      <w:dstrike w:val="false"/>
      <w:color w:val="1F000F"/>
      <w:position w:val="0"/>
      <w:sz w:val="24"/>
      <w:sz w:val="24"/>
      <w:szCs w:val="24"/>
      <w:u w:val="none" w:color="000000"/>
      <w:vertAlign w:val="baseline"/>
    </w:rPr>
  </w:style>
  <w:style w:type="character" w:styleId="ListLabel116">
    <w:name w:val="ListLabel 116"/>
    <w:qFormat/>
    <w:rPr>
      <w:rFonts w:ascii="Calibri" w:hAnsi="Calibri" w:cs="Arial"/>
      <w:b w:val="false"/>
      <w:i w:val="false"/>
      <w:strike w:val="false"/>
      <w:dstrike w:val="false"/>
      <w:color w:val="1F000F"/>
      <w:position w:val="0"/>
      <w:sz w:val="24"/>
      <w:sz w:val="24"/>
      <w:szCs w:val="24"/>
      <w:u w:val="none" w:color="000000"/>
      <w:vertAlign w:val="baseline"/>
    </w:rPr>
  </w:style>
  <w:style w:type="character" w:styleId="ListLabel117">
    <w:name w:val="ListLabel 117"/>
    <w:qFormat/>
    <w:rPr>
      <w:rFonts w:cs="Segoe UI Symbol"/>
      <w:b w:val="false"/>
      <w:i w:val="false"/>
      <w:strike w:val="false"/>
      <w:dstrike w:val="false"/>
      <w:color w:val="1F000F"/>
      <w:position w:val="0"/>
      <w:sz w:val="24"/>
      <w:sz w:val="24"/>
      <w:szCs w:val="24"/>
      <w:u w:val="none" w:color="000000"/>
      <w:vertAlign w:val="baseline"/>
    </w:rPr>
  </w:style>
  <w:style w:type="character" w:styleId="ListLabel118">
    <w:name w:val="ListLabel 118"/>
    <w:qFormat/>
    <w:rPr>
      <w:rFonts w:cs="Segoe UI Symbol"/>
      <w:b w:val="false"/>
      <w:i w:val="false"/>
      <w:strike w:val="false"/>
      <w:dstrike w:val="false"/>
      <w:color w:val="1F000F"/>
      <w:position w:val="0"/>
      <w:sz w:val="24"/>
      <w:sz w:val="24"/>
      <w:szCs w:val="24"/>
      <w:u w:val="none" w:color="000000"/>
      <w:vertAlign w:val="baseline"/>
    </w:rPr>
  </w:style>
  <w:style w:type="character" w:styleId="ListLabel119">
    <w:name w:val="ListLabel 119"/>
    <w:qFormat/>
    <w:rPr>
      <w:rFonts w:cs="Arial"/>
      <w:b w:val="false"/>
      <w:i w:val="false"/>
      <w:strike w:val="false"/>
      <w:dstrike w:val="false"/>
      <w:color w:val="1F000F"/>
      <w:position w:val="0"/>
      <w:sz w:val="24"/>
      <w:sz w:val="24"/>
      <w:szCs w:val="24"/>
      <w:u w:val="none" w:color="000000"/>
      <w:vertAlign w:val="baseline"/>
    </w:rPr>
  </w:style>
  <w:style w:type="character" w:styleId="ListLabel120">
    <w:name w:val="ListLabel 120"/>
    <w:qFormat/>
    <w:rPr>
      <w:rFonts w:cs="Segoe UI Symbol"/>
      <w:b w:val="false"/>
      <w:i w:val="false"/>
      <w:strike w:val="false"/>
      <w:dstrike w:val="false"/>
      <w:color w:val="1F000F"/>
      <w:position w:val="0"/>
      <w:sz w:val="24"/>
      <w:sz w:val="24"/>
      <w:szCs w:val="24"/>
      <w:u w:val="none" w:color="000000"/>
      <w:vertAlign w:val="baseline"/>
    </w:rPr>
  </w:style>
  <w:style w:type="character" w:styleId="ListLabel121">
    <w:name w:val="ListLabel 121"/>
    <w:qFormat/>
    <w:rPr>
      <w:rFonts w:cs="Segoe UI Symbol"/>
      <w:b w:val="false"/>
      <w:i w:val="false"/>
      <w:strike w:val="false"/>
      <w:dstrike w:val="false"/>
      <w:color w:val="1F000F"/>
      <w:position w:val="0"/>
      <w:sz w:val="24"/>
      <w:sz w:val="24"/>
      <w:szCs w:val="24"/>
      <w:u w:val="none" w:color="000000"/>
      <w:vertAlign w:val="baseline"/>
    </w:rPr>
  </w:style>
  <w:style w:type="character" w:styleId="ListLabel122">
    <w:name w:val="ListLabel 122"/>
    <w:qFormat/>
    <w:rPr>
      <w:rFonts w:cs="Arial"/>
      <w:b w:val="false"/>
      <w:i w:val="false"/>
      <w:strike w:val="false"/>
      <w:dstrike w:val="false"/>
      <w:color w:val="1F000F"/>
      <w:position w:val="0"/>
      <w:sz w:val="24"/>
      <w:sz w:val="24"/>
      <w:szCs w:val="24"/>
      <w:u w:val="none" w:color="000000"/>
      <w:vertAlign w:val="baseline"/>
    </w:rPr>
  </w:style>
  <w:style w:type="character" w:styleId="ListLabel123">
    <w:name w:val="ListLabel 123"/>
    <w:qFormat/>
    <w:rPr>
      <w:rFonts w:cs="Segoe UI Symbol"/>
      <w:b w:val="false"/>
      <w:i w:val="false"/>
      <w:strike w:val="false"/>
      <w:dstrike w:val="false"/>
      <w:color w:val="1F000F"/>
      <w:position w:val="0"/>
      <w:sz w:val="24"/>
      <w:sz w:val="24"/>
      <w:szCs w:val="24"/>
      <w:u w:val="none" w:color="000000"/>
      <w:vertAlign w:val="baseline"/>
    </w:rPr>
  </w:style>
  <w:style w:type="character" w:styleId="ListLabel124">
    <w:name w:val="ListLabel 124"/>
    <w:qFormat/>
    <w:rPr>
      <w:rFonts w:cs="Segoe UI Symbol"/>
      <w:b w:val="false"/>
      <w:i w:val="false"/>
      <w:strike w:val="false"/>
      <w:dstrike w:val="false"/>
      <w:color w:val="1F000F"/>
      <w:position w:val="0"/>
      <w:sz w:val="24"/>
      <w:sz w:val="24"/>
      <w:szCs w:val="24"/>
      <w:u w:val="none" w:color="000000"/>
      <w:vertAlign w:val="baseline"/>
    </w:rPr>
  </w:style>
  <w:style w:type="character" w:styleId="ListLabel125">
    <w:name w:val="ListLabel 125"/>
    <w:qFormat/>
    <w:rPr>
      <w:rFonts w:ascii="Calibri" w:hAnsi="Calibri" w:cs="Arial"/>
      <w:b w:val="false"/>
      <w:i w:val="false"/>
      <w:strike w:val="false"/>
      <w:dstrike w:val="false"/>
      <w:color w:val="1F000F"/>
      <w:position w:val="0"/>
      <w:sz w:val="24"/>
      <w:sz w:val="24"/>
      <w:szCs w:val="24"/>
      <w:u w:val="none" w:color="000000"/>
      <w:vertAlign w:val="baseline"/>
    </w:rPr>
  </w:style>
  <w:style w:type="character" w:styleId="ListLabel126">
    <w:name w:val="ListLabel 126"/>
    <w:qFormat/>
    <w:rPr>
      <w:rFonts w:cs="Segoe UI Symbol"/>
      <w:b w:val="false"/>
      <w:i w:val="false"/>
      <w:strike w:val="false"/>
      <w:dstrike w:val="false"/>
      <w:color w:val="1F000F"/>
      <w:position w:val="0"/>
      <w:sz w:val="24"/>
      <w:sz w:val="24"/>
      <w:szCs w:val="24"/>
      <w:u w:val="none" w:color="000000"/>
      <w:vertAlign w:val="baseline"/>
    </w:rPr>
  </w:style>
  <w:style w:type="character" w:styleId="ListLabel127">
    <w:name w:val="ListLabel 127"/>
    <w:qFormat/>
    <w:rPr>
      <w:rFonts w:cs="Segoe UI Symbol"/>
      <w:b w:val="false"/>
      <w:i w:val="false"/>
      <w:strike w:val="false"/>
      <w:dstrike w:val="false"/>
      <w:color w:val="1F000F"/>
      <w:position w:val="0"/>
      <w:sz w:val="24"/>
      <w:sz w:val="24"/>
      <w:szCs w:val="24"/>
      <w:u w:val="none" w:color="000000"/>
      <w:vertAlign w:val="baseline"/>
    </w:rPr>
  </w:style>
  <w:style w:type="character" w:styleId="ListLabel128">
    <w:name w:val="ListLabel 128"/>
    <w:qFormat/>
    <w:rPr>
      <w:rFonts w:cs="Arial"/>
      <w:b w:val="false"/>
      <w:i w:val="false"/>
      <w:strike w:val="false"/>
      <w:dstrike w:val="false"/>
      <w:color w:val="1F000F"/>
      <w:position w:val="0"/>
      <w:sz w:val="24"/>
      <w:sz w:val="24"/>
      <w:szCs w:val="24"/>
      <w:u w:val="none" w:color="000000"/>
      <w:vertAlign w:val="baseline"/>
    </w:rPr>
  </w:style>
  <w:style w:type="character" w:styleId="ListLabel129">
    <w:name w:val="ListLabel 129"/>
    <w:qFormat/>
    <w:rPr>
      <w:rFonts w:cs="Segoe UI Symbol"/>
      <w:b w:val="false"/>
      <w:i w:val="false"/>
      <w:strike w:val="false"/>
      <w:dstrike w:val="false"/>
      <w:color w:val="1F000F"/>
      <w:position w:val="0"/>
      <w:sz w:val="24"/>
      <w:sz w:val="24"/>
      <w:szCs w:val="24"/>
      <w:u w:val="none" w:color="000000"/>
      <w:vertAlign w:val="baseline"/>
    </w:rPr>
  </w:style>
  <w:style w:type="character" w:styleId="ListLabel130">
    <w:name w:val="ListLabel 130"/>
    <w:qFormat/>
    <w:rPr>
      <w:rFonts w:cs="Segoe UI Symbol"/>
      <w:b w:val="false"/>
      <w:i w:val="false"/>
      <w:strike w:val="false"/>
      <w:dstrike w:val="false"/>
      <w:color w:val="1F000F"/>
      <w:position w:val="0"/>
      <w:sz w:val="24"/>
      <w:sz w:val="24"/>
      <w:szCs w:val="24"/>
      <w:u w:val="none" w:color="000000"/>
      <w:vertAlign w:val="baseline"/>
    </w:rPr>
  </w:style>
  <w:style w:type="character" w:styleId="ListLabel131">
    <w:name w:val="ListLabel 131"/>
    <w:qFormat/>
    <w:rPr>
      <w:rFonts w:cs="Arial"/>
      <w:b w:val="false"/>
      <w:i w:val="false"/>
      <w:strike w:val="false"/>
      <w:dstrike w:val="false"/>
      <w:color w:val="1F000F"/>
      <w:position w:val="0"/>
      <w:sz w:val="24"/>
      <w:sz w:val="24"/>
      <w:szCs w:val="24"/>
      <w:u w:val="none" w:color="000000"/>
      <w:vertAlign w:val="baseline"/>
    </w:rPr>
  </w:style>
  <w:style w:type="character" w:styleId="ListLabel132">
    <w:name w:val="ListLabel 132"/>
    <w:qFormat/>
    <w:rPr>
      <w:rFonts w:cs="Segoe UI Symbol"/>
      <w:b w:val="false"/>
      <w:i w:val="false"/>
      <w:strike w:val="false"/>
      <w:dstrike w:val="false"/>
      <w:color w:val="1F000F"/>
      <w:position w:val="0"/>
      <w:sz w:val="24"/>
      <w:sz w:val="24"/>
      <w:szCs w:val="24"/>
      <w:u w:val="none" w:color="000000"/>
      <w:vertAlign w:val="baseline"/>
    </w:rPr>
  </w:style>
  <w:style w:type="character" w:styleId="ListLabel133">
    <w:name w:val="ListLabel 133"/>
    <w:qFormat/>
    <w:rPr>
      <w:rFonts w:cs="Segoe UI Symbol"/>
      <w:b w:val="false"/>
      <w:i w:val="false"/>
      <w:strike w:val="false"/>
      <w:dstrike w:val="false"/>
      <w:color w:val="1F000F"/>
      <w:position w:val="0"/>
      <w:sz w:val="24"/>
      <w:sz w:val="24"/>
      <w:szCs w:val="24"/>
      <w:u w:val="none" w:color="000000"/>
      <w:vertAlign w:val="baseline"/>
    </w:rPr>
  </w:style>
  <w:style w:type="character" w:styleId="ListLabel134">
    <w:name w:val="ListLabel 134"/>
    <w:qFormat/>
    <w:rPr>
      <w:rFonts w:ascii="Calibri" w:hAnsi="Calibri"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Symbol"/>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ascii="Calibri" w:hAnsi="Calibri"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ascii="Calibri" w:hAnsi="Calibri" w:cs="Symbol"/>
      <w:b/>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ascii="Calibri" w:hAnsi="Calibri" w:cs="Wingdings"/>
      <w:b/>
      <w:i w:val="false"/>
      <w:strike w:val="false"/>
      <w:dstrike w:val="false"/>
      <w:color w:val="1F000F"/>
      <w:position w:val="0"/>
      <w:sz w:val="24"/>
      <w:sz w:val="24"/>
      <w:szCs w:val="24"/>
      <w:u w:val="none" w:color="000000"/>
      <w:vertAlign w:val="baseline"/>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cs="Symbol"/>
    </w:rPr>
  </w:style>
  <w:style w:type="character" w:styleId="ListLabel165">
    <w:name w:val="ListLabel 165"/>
    <w:qFormat/>
    <w:rPr>
      <w:rFonts w:cs="Courier New"/>
    </w:rPr>
  </w:style>
  <w:style w:type="character" w:styleId="ListLabel166">
    <w:name w:val="ListLabel 166"/>
    <w:qFormat/>
    <w:rPr>
      <w:rFonts w:cs="Wingdings"/>
    </w:rPr>
  </w:style>
  <w:style w:type="character" w:styleId="ListLabel167">
    <w:name w:val="ListLabel 167"/>
    <w:qFormat/>
    <w:rPr>
      <w:rFonts w:cs="Symbol"/>
    </w:rPr>
  </w:style>
  <w:style w:type="character" w:styleId="ListLabel168">
    <w:name w:val="ListLabel 168"/>
    <w:qFormat/>
    <w:rPr>
      <w:rFonts w:cs="Courier New"/>
    </w:rPr>
  </w:style>
  <w:style w:type="character" w:styleId="ListLabel169">
    <w:name w:val="ListLabel 169"/>
    <w:qFormat/>
    <w:rPr>
      <w:rFonts w:cs="Wingdings"/>
    </w:rPr>
  </w:style>
  <w:style w:type="character" w:styleId="ListLabel170">
    <w:name w:val="ListLabel 170"/>
    <w:qFormat/>
    <w:rPr>
      <w:rFonts w:ascii="Calibri" w:hAnsi="Calibri" w:cs="Wingdings"/>
      <w:b/>
    </w:rPr>
  </w:style>
  <w:style w:type="character" w:styleId="ListLabel171">
    <w:name w:val="ListLabel 171"/>
    <w:qFormat/>
    <w:rPr>
      <w:rFonts w:cs="Courier New"/>
    </w:rPr>
  </w:style>
  <w:style w:type="character" w:styleId="ListLabel172">
    <w:name w:val="ListLabel 172"/>
    <w:qFormat/>
    <w:rPr>
      <w:rFonts w:cs="Wingdings"/>
    </w:rPr>
  </w:style>
  <w:style w:type="character" w:styleId="ListLabel173">
    <w:name w:val="ListLabel 173"/>
    <w:qFormat/>
    <w:rPr>
      <w:rFonts w:cs="Symbol"/>
    </w:rPr>
  </w:style>
  <w:style w:type="character" w:styleId="ListLabel174">
    <w:name w:val="ListLabel 174"/>
    <w:qFormat/>
    <w:rPr>
      <w:rFonts w:cs="Courier New"/>
    </w:rPr>
  </w:style>
  <w:style w:type="character" w:styleId="ListLabel175">
    <w:name w:val="ListLabel 175"/>
    <w:qFormat/>
    <w:rPr>
      <w:rFonts w:cs="Wingdings"/>
    </w:rPr>
  </w:style>
  <w:style w:type="character" w:styleId="ListLabel176">
    <w:name w:val="ListLabel 176"/>
    <w:qFormat/>
    <w:rPr>
      <w:rFonts w:cs="Symbol"/>
    </w:rPr>
  </w:style>
  <w:style w:type="character" w:styleId="ListLabel177">
    <w:name w:val="ListLabel 177"/>
    <w:qFormat/>
    <w:rPr>
      <w:rFonts w:cs="Courier New"/>
    </w:rPr>
  </w:style>
  <w:style w:type="character" w:styleId="ListLabel178">
    <w:name w:val="ListLabel 178"/>
    <w:qFormat/>
    <w:rPr>
      <w:rFonts w:cs="Wingdings"/>
    </w:rPr>
  </w:style>
  <w:style w:type="character" w:styleId="ListLabel179">
    <w:name w:val="ListLabel 179"/>
    <w:qFormat/>
    <w:rPr>
      <w:rFonts w:ascii="Calibri" w:hAnsi="Calibri" w:cs="Arial"/>
      <w:b w:val="false"/>
      <w:i w:val="false"/>
      <w:strike w:val="false"/>
      <w:dstrike w:val="false"/>
      <w:color w:val="1F000F"/>
      <w:position w:val="0"/>
      <w:sz w:val="24"/>
      <w:sz w:val="24"/>
      <w:szCs w:val="24"/>
      <w:u w:val="none" w:color="000000"/>
      <w:vertAlign w:val="baseline"/>
    </w:rPr>
  </w:style>
  <w:style w:type="character" w:styleId="ListLabel180">
    <w:name w:val="ListLabel 180"/>
    <w:qFormat/>
    <w:rPr>
      <w:rFonts w:cs="Courier New"/>
    </w:rPr>
  </w:style>
  <w:style w:type="character" w:styleId="ListLabel181">
    <w:name w:val="ListLabel 181"/>
    <w:qFormat/>
    <w:rPr>
      <w:rFonts w:cs="Wingdings"/>
    </w:rPr>
  </w:style>
  <w:style w:type="character" w:styleId="ListLabel182">
    <w:name w:val="ListLabel 182"/>
    <w:qFormat/>
    <w:rPr>
      <w:rFonts w:cs="Symbol"/>
    </w:rPr>
  </w:style>
  <w:style w:type="character" w:styleId="ListLabel183">
    <w:name w:val="ListLabel 183"/>
    <w:qFormat/>
    <w:rPr>
      <w:rFonts w:cs="Courier New"/>
    </w:rPr>
  </w:style>
  <w:style w:type="character" w:styleId="ListLabel184">
    <w:name w:val="ListLabel 184"/>
    <w:qFormat/>
    <w:rPr>
      <w:rFonts w:cs="Wingdings"/>
    </w:rPr>
  </w:style>
  <w:style w:type="character" w:styleId="ListLabel185">
    <w:name w:val="ListLabel 185"/>
    <w:qFormat/>
    <w:rPr>
      <w:rFonts w:cs="Symbol"/>
    </w:rPr>
  </w:style>
  <w:style w:type="character" w:styleId="ListLabel186">
    <w:name w:val="ListLabel 186"/>
    <w:qFormat/>
    <w:rPr>
      <w:rFonts w:cs="Courier New"/>
    </w:rPr>
  </w:style>
  <w:style w:type="character" w:styleId="ListLabel187">
    <w:name w:val="ListLabel 187"/>
    <w:qFormat/>
    <w:rPr>
      <w:rFonts w:cs="Wingdings"/>
    </w:rPr>
  </w:style>
  <w:style w:type="character" w:styleId="ListLabel188">
    <w:name w:val="ListLabel 188"/>
    <w:qFormat/>
    <w:rPr>
      <w:rFonts w:ascii="Calibri" w:hAnsi="Calibri" w:cs="Arial"/>
      <w:b w:val="false"/>
      <w:i w:val="false"/>
      <w:strike w:val="false"/>
      <w:dstrike w:val="false"/>
      <w:color w:val="1F000F"/>
      <w:position w:val="0"/>
      <w:sz w:val="24"/>
      <w:sz w:val="24"/>
      <w:szCs w:val="24"/>
      <w:u w:val="none" w:color="000000"/>
      <w:vertAlign w:val="baseline"/>
    </w:rPr>
  </w:style>
  <w:style w:type="character" w:styleId="ListLabel189">
    <w:name w:val="ListLabel 189"/>
    <w:qFormat/>
    <w:rPr>
      <w:rFonts w:cs="Courier New"/>
    </w:rPr>
  </w:style>
  <w:style w:type="character" w:styleId="ListLabel190">
    <w:name w:val="ListLabel 190"/>
    <w:qFormat/>
    <w:rPr>
      <w:rFonts w:cs="Wingdings"/>
    </w:rPr>
  </w:style>
  <w:style w:type="character" w:styleId="ListLabel191">
    <w:name w:val="ListLabel 191"/>
    <w:qFormat/>
    <w:rPr>
      <w:rFonts w:cs="Symbol"/>
    </w:rPr>
  </w:style>
  <w:style w:type="character" w:styleId="ListLabel192">
    <w:name w:val="ListLabel 192"/>
    <w:qFormat/>
    <w:rPr>
      <w:rFonts w:cs="Courier New"/>
    </w:rPr>
  </w:style>
  <w:style w:type="character" w:styleId="ListLabel193">
    <w:name w:val="ListLabel 193"/>
    <w:qFormat/>
    <w:rPr>
      <w:rFonts w:cs="Wingdings"/>
    </w:rPr>
  </w:style>
  <w:style w:type="character" w:styleId="ListLabel194">
    <w:name w:val="ListLabel 194"/>
    <w:qFormat/>
    <w:rPr>
      <w:rFonts w:cs="Symbol"/>
    </w:rPr>
  </w:style>
  <w:style w:type="character" w:styleId="ListLabel195">
    <w:name w:val="ListLabel 195"/>
    <w:qFormat/>
    <w:rPr>
      <w:rFonts w:cs="Courier New"/>
    </w:rPr>
  </w:style>
  <w:style w:type="character" w:styleId="ListLabel196">
    <w:name w:val="ListLabel 196"/>
    <w:qFormat/>
    <w:rPr>
      <w:rFonts w:cs="Wingdings"/>
    </w:rPr>
  </w:style>
  <w:style w:type="character" w:styleId="ListLabel197">
    <w:name w:val="ListLabel 197"/>
    <w:qFormat/>
    <w:rPr>
      <w:rFonts w:ascii="Calibri" w:hAnsi="Calibri" w:cs="Symbol"/>
    </w:rPr>
  </w:style>
  <w:style w:type="character" w:styleId="ListLabel198">
    <w:name w:val="ListLabel 198"/>
    <w:qFormat/>
    <w:rPr>
      <w:rFonts w:cs="Courier New"/>
    </w:rPr>
  </w:style>
  <w:style w:type="character" w:styleId="ListLabel199">
    <w:name w:val="ListLabel 199"/>
    <w:qFormat/>
    <w:rPr>
      <w:rFonts w:cs="Wingdings"/>
    </w:rPr>
  </w:style>
  <w:style w:type="character" w:styleId="ListLabel200">
    <w:name w:val="ListLabel 200"/>
    <w:qFormat/>
    <w:rPr>
      <w:rFonts w:cs="Symbol"/>
    </w:rPr>
  </w:style>
  <w:style w:type="character" w:styleId="ListLabel201">
    <w:name w:val="ListLabel 201"/>
    <w:qFormat/>
    <w:rPr>
      <w:rFonts w:cs="Courier New"/>
    </w:rPr>
  </w:style>
  <w:style w:type="character" w:styleId="ListLabel202">
    <w:name w:val="ListLabel 202"/>
    <w:qFormat/>
    <w:rPr>
      <w:rFonts w:cs="Wingdings"/>
    </w:rPr>
  </w:style>
  <w:style w:type="character" w:styleId="ListLabel203">
    <w:name w:val="ListLabel 203"/>
    <w:qFormat/>
    <w:rPr>
      <w:rFonts w:cs="Symbol"/>
    </w:rPr>
  </w:style>
  <w:style w:type="character" w:styleId="ListLabel204">
    <w:name w:val="ListLabel 204"/>
    <w:qFormat/>
    <w:rPr>
      <w:rFonts w:cs="Courier New"/>
    </w:rPr>
  </w:style>
  <w:style w:type="character" w:styleId="ListLabel205">
    <w:name w:val="ListLabel 205"/>
    <w:qFormat/>
    <w:rPr>
      <w:rFonts w:cs="Wingdings"/>
    </w:rPr>
  </w:style>
  <w:style w:type="character" w:styleId="ListLabel206">
    <w:name w:val="ListLabel 206"/>
    <w:qFormat/>
    <w:rPr>
      <w:rFonts w:ascii="Calibri" w:hAnsi="Calibri" w:cs="Symbol"/>
    </w:rPr>
  </w:style>
  <w:style w:type="character" w:styleId="ListLabel207">
    <w:name w:val="ListLabel 207"/>
    <w:qFormat/>
    <w:rPr>
      <w:rFonts w:cs="Courier New"/>
    </w:rPr>
  </w:style>
  <w:style w:type="character" w:styleId="ListLabel208">
    <w:name w:val="ListLabel 208"/>
    <w:qFormat/>
    <w:rPr>
      <w:rFonts w:cs="Wingdings"/>
    </w:rPr>
  </w:style>
  <w:style w:type="character" w:styleId="ListLabel209">
    <w:name w:val="ListLabel 209"/>
    <w:qFormat/>
    <w:rPr>
      <w:rFonts w:cs="Symbol"/>
    </w:rPr>
  </w:style>
  <w:style w:type="character" w:styleId="ListLabel210">
    <w:name w:val="ListLabel 210"/>
    <w:qFormat/>
    <w:rPr>
      <w:rFonts w:cs="Courier New"/>
    </w:rPr>
  </w:style>
  <w:style w:type="character" w:styleId="ListLabel211">
    <w:name w:val="ListLabel 211"/>
    <w:qFormat/>
    <w:rPr>
      <w:rFonts w:cs="Wingdings"/>
    </w:rPr>
  </w:style>
  <w:style w:type="character" w:styleId="ListLabel212">
    <w:name w:val="ListLabel 212"/>
    <w:qFormat/>
    <w:rPr>
      <w:rFonts w:cs="Symbol"/>
    </w:rPr>
  </w:style>
  <w:style w:type="character" w:styleId="ListLabel213">
    <w:name w:val="ListLabel 213"/>
    <w:qFormat/>
    <w:rPr>
      <w:rFonts w:cs="Courier New"/>
    </w:rPr>
  </w:style>
  <w:style w:type="character" w:styleId="ListLabel214">
    <w:name w:val="ListLabel 214"/>
    <w:qFormat/>
    <w:rPr>
      <w:rFonts w:cs="Wingdings"/>
    </w:rPr>
  </w:style>
  <w:style w:type="character" w:styleId="ListLabel215">
    <w:name w:val="ListLabel 215"/>
    <w:qFormat/>
    <w:rPr>
      <w:rFonts w:ascii="Calibri" w:hAnsi="Calibri" w:cs="Symbol"/>
      <w:b/>
    </w:rPr>
  </w:style>
  <w:style w:type="character" w:styleId="ListLabel216">
    <w:name w:val="ListLabel 216"/>
    <w:qFormat/>
    <w:rPr>
      <w:rFonts w:cs="Courier New"/>
    </w:rPr>
  </w:style>
  <w:style w:type="character" w:styleId="ListLabel217">
    <w:name w:val="ListLabel 217"/>
    <w:qFormat/>
    <w:rPr>
      <w:rFonts w:cs="Wingdings"/>
    </w:rPr>
  </w:style>
  <w:style w:type="character" w:styleId="ListLabel218">
    <w:name w:val="ListLabel 218"/>
    <w:qFormat/>
    <w:rPr>
      <w:rFonts w:cs="Symbol"/>
    </w:rPr>
  </w:style>
  <w:style w:type="character" w:styleId="ListLabel219">
    <w:name w:val="ListLabel 219"/>
    <w:qFormat/>
    <w:rPr>
      <w:rFonts w:cs="Courier New"/>
    </w:rPr>
  </w:style>
  <w:style w:type="character" w:styleId="ListLabel220">
    <w:name w:val="ListLabel 220"/>
    <w:qFormat/>
    <w:rPr>
      <w:rFonts w:cs="Wingdings"/>
    </w:rPr>
  </w:style>
  <w:style w:type="character" w:styleId="ListLabel221">
    <w:name w:val="ListLabel 221"/>
    <w:qFormat/>
    <w:rPr>
      <w:rFonts w:cs="Symbol"/>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Wingdings"/>
      <w:b/>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cs="Symbol"/>
    </w:rPr>
  </w:style>
  <w:style w:type="character" w:styleId="ListLabel231">
    <w:name w:val="ListLabel 231"/>
    <w:qFormat/>
    <w:rPr>
      <w:rFonts w:cs="Courier New"/>
    </w:rPr>
  </w:style>
  <w:style w:type="character" w:styleId="ListLabel232">
    <w:name w:val="ListLabel 232"/>
    <w:qFormat/>
    <w:rPr>
      <w:rFonts w:cs="Wingdings"/>
    </w:rPr>
  </w:style>
  <w:style w:type="character" w:styleId="ListLabel233">
    <w:name w:val="ListLabel 233"/>
    <w:qFormat/>
    <w:rPr/>
  </w:style>
  <w:style w:type="character" w:styleId="ListLabel234">
    <w:name w:val="ListLabel 234"/>
    <w:qFormat/>
    <w:rPr>
      <w:rFonts w:eastAsia="" w:cs="" w:cstheme="minorBidi" w:eastAsiaTheme="minorEastAsia"/>
      <w:color w:val="auto"/>
      <w:sz w:val="22"/>
    </w:rPr>
  </w:style>
  <w:style w:type="character" w:styleId="ListLabel235">
    <w:name w:val="ListLabel 235"/>
    <w:qFormat/>
    <w:rPr>
      <w:shd w:fill="FFFFFF" w:val="clear"/>
    </w:rPr>
  </w:style>
  <w:style w:type="character" w:styleId="ListLabel236">
    <w:name w:val="ListLabel 236"/>
    <w:qFormat/>
    <w:rPr>
      <w:rFonts w:cs="Calibri" w:cstheme="minorHAnsi"/>
    </w:rPr>
  </w:style>
  <w:style w:type="character" w:styleId="ListLabel237">
    <w:name w:val="ListLabel 237"/>
    <w:qFormat/>
    <w:rPr>
      <w:rFonts w:cs="Calibri" w:cstheme="minorHAnsi"/>
      <w:shd w:fill="FFFFFF" w:val="clear"/>
    </w:rPr>
  </w:style>
  <w:style w:type="character" w:styleId="ListLabel238">
    <w:name w:val="ListLabel 238"/>
    <w:qFormat/>
    <w:rPr>
      <w:rFonts w:eastAsia="Arial"/>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83792b"/>
    <w:pPr>
      <w:spacing w:before="0" w:after="5"/>
      <w:ind w:left="720" w:hanging="0"/>
      <w:contextualSpacing/>
    </w:pPr>
    <w:rPr/>
  </w:style>
  <w:style w:type="paragraph" w:styleId="BalloonText">
    <w:name w:val="Balloon Text"/>
    <w:basedOn w:val="Normal"/>
    <w:link w:val="TekstdymkaZnak"/>
    <w:uiPriority w:val="99"/>
    <w:semiHidden/>
    <w:unhideWhenUsed/>
    <w:qFormat/>
    <w:rsid w:val="00bb7b2c"/>
    <w:pPr>
      <w:spacing w:lineRule="auto" w:line="240" w:before="0" w:after="0"/>
    </w:pPr>
    <w:rPr>
      <w:rFonts w:ascii="Segoe UI" w:hAnsi="Segoe UI" w:cs="Segoe UI"/>
      <w:sz w:val="18"/>
      <w:szCs w:val="18"/>
    </w:rPr>
  </w:style>
  <w:style w:type="paragraph" w:styleId="Annotationtext">
    <w:name w:val="annotation text"/>
    <w:basedOn w:val="Normal"/>
    <w:link w:val="TekstkomentarzaZnak"/>
    <w:uiPriority w:val="99"/>
    <w:semiHidden/>
    <w:unhideWhenUsed/>
    <w:qFormat/>
    <w:rsid w:val="009a165a"/>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9a165a"/>
    <w:pPr/>
    <w:rPr>
      <w:b/>
      <w:bCs/>
    </w:rPr>
  </w:style>
  <w:style w:type="paragraph" w:styleId="NoSpacing">
    <w:name w:val="No Spacing"/>
    <w:uiPriority w:val="1"/>
    <w:qFormat/>
    <w:rsid w:val="005e57ca"/>
    <w:pPr>
      <w:widowControl/>
      <w:bidi w:val="0"/>
      <w:spacing w:lineRule="auto" w:line="240" w:before="0" w:after="0"/>
      <w:ind w:left="298" w:hanging="0"/>
      <w:jc w:val="both"/>
    </w:pPr>
    <w:rPr>
      <w:rFonts w:ascii="Calibri" w:hAnsi="Calibri" w:eastAsia="Calibri" w:cs="Calibri"/>
      <w:color w:val="1F000F"/>
      <w:kern w:val="0"/>
      <w:sz w:val="24"/>
      <w:szCs w:val="22"/>
      <w:lang w:val="pl-PL" w:eastAsia="pl-PL" w:bidi="ar-SA"/>
    </w:rPr>
  </w:style>
  <w:style w:type="paragraph" w:styleId="Default" w:customStyle="1">
    <w:name w:val="Default"/>
    <w:qFormat/>
    <w:rsid w:val="00b177ff"/>
    <w:pPr>
      <w:widowControl/>
      <w:bidi w:val="0"/>
      <w:spacing w:lineRule="auto" w:line="240" w:before="0" w:after="0"/>
      <w:jc w:val="left"/>
    </w:pPr>
    <w:rPr>
      <w:rFonts w:ascii="Calibri" w:hAnsi="Calibri" w:eastAsia="" w:cs="Calibri"/>
      <w:color w:val="000000"/>
      <w:kern w:val="0"/>
      <w:sz w:val="24"/>
      <w:szCs w:val="24"/>
      <w:lang w:val="pl-PL" w:eastAsia="pl-PL" w:bidi="ar-SA"/>
    </w:rPr>
  </w:style>
  <w:style w:type="paragraph" w:styleId="TOCHeading">
    <w:name w:val="TOC Heading"/>
    <w:basedOn w:val="Nagwek1"/>
    <w:next w:val="Normal"/>
    <w:uiPriority w:val="39"/>
    <w:unhideWhenUsed/>
    <w:qFormat/>
    <w:rsid w:val="00cc07d0"/>
    <w:pPr>
      <w:spacing w:lineRule="auto" w:line="259" w:before="240" w:after="0"/>
      <w:ind w:left="0" w:right="0" w:hanging="0"/>
      <w:jc w:val="left"/>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Spistreci1">
    <w:name w:val="TOC 1"/>
    <w:basedOn w:val="Normal"/>
    <w:next w:val="Normal"/>
    <w:autoRedefine/>
    <w:uiPriority w:val="39"/>
    <w:unhideWhenUsed/>
    <w:rsid w:val="002a23f3"/>
    <w:pPr>
      <w:tabs>
        <w:tab w:val="clear" w:pos="708"/>
        <w:tab w:val="left" w:pos="440" w:leader="none"/>
        <w:tab w:val="right" w:pos="9788" w:leader="dot"/>
      </w:tabs>
      <w:spacing w:before="0" w:after="100"/>
      <w:ind w:left="0" w:hanging="0"/>
    </w:pPr>
    <w:rPr/>
  </w:style>
  <w:style w:type="paragraph" w:styleId="Stopka">
    <w:name w:val="Footer"/>
    <w:basedOn w:val="Normal"/>
    <w:link w:val="StopkaZnak"/>
    <w:uiPriority w:val="99"/>
    <w:unhideWhenUsed/>
    <w:rsid w:val="00af3e68"/>
    <w:pPr>
      <w:tabs>
        <w:tab w:val="clear" w:pos="708"/>
        <w:tab w:val="center" w:pos="4680" w:leader="none"/>
        <w:tab w:val="right" w:pos="9360" w:leader="none"/>
      </w:tabs>
      <w:spacing w:lineRule="auto" w:line="240" w:before="0" w:after="0"/>
      <w:ind w:left="0" w:hanging="0"/>
      <w:jc w:val="left"/>
    </w:pPr>
    <w:rPr>
      <w:rFonts w:ascii="Calibri" w:hAnsi="Calibri" w:eastAsia="" w:cs="Times New Roman" w:asciiTheme="minorHAnsi" w:eastAsiaTheme="minorEastAsia" w:hAnsiTheme="minorHAnsi"/>
      <w:color w:val="auto"/>
      <w:sz w:val="22"/>
    </w:rPr>
  </w:style>
  <w:style w:type="paragraph" w:styleId="Podtytu">
    <w:name w:val="Subtitle"/>
    <w:basedOn w:val="Normal"/>
    <w:next w:val="Normal"/>
    <w:link w:val="PodtytuZnak"/>
    <w:uiPriority w:val="11"/>
    <w:qFormat/>
    <w:rsid w:val="007d0e6b"/>
    <w:pPr>
      <w:spacing w:before="0" w:after="160"/>
      <w:ind w:left="298" w:hanging="0"/>
    </w:pPr>
    <w:rPr>
      <w:rFonts w:ascii="Calibri" w:hAnsi="Calibri" w:eastAsia="" w:cs="" w:asciiTheme="minorHAnsi" w:cstheme="minorBidi" w:eastAsiaTheme="minorEastAsia" w:hAnsiTheme="minorHAnsi"/>
      <w:color w:val="5A5A5A" w:themeColor="text1" w:themeTint="a5"/>
      <w:spacing w:val="15"/>
      <w:sz w:val="22"/>
    </w:rPr>
  </w:style>
  <w:style w:type="paragraph" w:styleId="Gwka">
    <w:name w:val="Header"/>
    <w:basedOn w:val="Normal"/>
    <w:link w:val="NagwekZnak"/>
    <w:uiPriority w:val="99"/>
    <w:unhideWhenUsed/>
    <w:rsid w:val="002e19fe"/>
    <w:pPr>
      <w:tabs>
        <w:tab w:val="clear" w:pos="708"/>
        <w:tab w:val="center" w:pos="4536" w:leader="none"/>
        <w:tab w:val="right" w:pos="9072" w:leader="none"/>
      </w:tabs>
      <w:spacing w:lineRule="auto" w:line="240" w:before="0" w:after="0"/>
    </w:pPr>
    <w:rPr/>
  </w:style>
  <w:style w:type="paragraph" w:styleId="Caption">
    <w:name w:val="caption"/>
    <w:basedOn w:val="Normal"/>
    <w:next w:val="Normal"/>
    <w:link w:val="LegendaZnak"/>
    <w:uiPriority w:val="35"/>
    <w:unhideWhenUsed/>
    <w:qFormat/>
    <w:rsid w:val="00261753"/>
    <w:pPr>
      <w:suppressAutoHyphens w:val="true"/>
      <w:spacing w:lineRule="auto" w:line="240" w:before="0" w:after="200"/>
      <w:ind w:left="0" w:hanging="0"/>
    </w:pPr>
    <w:rPr>
      <w:rFonts w:ascii="Calibri" w:hAnsi="Calibri" w:asciiTheme="minorHAnsi" w:hAnsiTheme="minorHAnsi"/>
      <w:b/>
      <w:bCs/>
      <w:color w:val="4472C4" w:themeColor="accent1"/>
      <w:sz w:val="18"/>
      <w:szCs w:val="18"/>
      <w:lang w:eastAsia="zh-CN"/>
    </w:rPr>
  </w:style>
  <w:style w:type="paragraph" w:styleId="Przypiskocowy">
    <w:name w:val="Endnote Text"/>
    <w:basedOn w:val="Normal"/>
    <w:link w:val="TekstprzypisukocowegoZnak"/>
    <w:uiPriority w:val="99"/>
    <w:semiHidden/>
    <w:unhideWhenUsed/>
    <w:rsid w:val="00492cfa"/>
    <w:pPr>
      <w:spacing w:lineRule="auto" w:line="240" w:before="0" w:after="0"/>
    </w:pPr>
    <w:rPr>
      <w:sz w:val="20"/>
      <w:szCs w:val="20"/>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ela-Siatka">
    <w:name w:val="Table Grid"/>
    <w:basedOn w:val="Standardowy"/>
    <w:uiPriority w:val="39"/>
    <w:rsid w:val="00ba4290"/>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1">
    <w:name w:val="TableGrid1"/>
    <w:rsid w:val="008c0234"/>
    <w:pPr>
      <w:spacing w:after="0" w:line="240" w:lineRule="auto"/>
    </w:pPr>
    <w:tblPr>
      <w:tblCellMar>
        <w:top w:w="0" w:type="dxa"/>
        <w:left w:w="0" w:type="dxa"/>
        <w:bottom w:w="0" w:type="dxa"/>
        <w:right w:w="0" w:type="dxa"/>
      </w:tblCellMar>
    </w:tblPr>
  </w:style>
  <w:style w:type="table" w:styleId="Tabelasiatki4akcent3">
    <w:name w:val="Grid Table 4 Accent 3"/>
    <w:basedOn w:val="Standardowy"/>
    <w:uiPriority w:val="49"/>
    <w:rsid w:val="00261753"/>
    <w:pPr>
      <w:spacing w:before="100" w:after="0" w:line="240" w:lineRule="auto"/>
    </w:pPr>
    <w:rPr>
      <w:lang w:eastAsia="en-US"/>
      <w:sz w:val="20"/>
      <w:szCs w:val="20"/>
    </w:rPr>
    <w:tblPr>
      <w:tblStyleRowBandSize w:val="1"/>
      <w:tblStyleColBandSize w:val="1"/>
      <w:tblInd w:w="0" w:type="nil"/>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Pr/>
    </w:tblStylePr>
    <w:tblStylePr w:type="lastCol">
      <w:rPr>
        <w:b/>
        <w:bCs/>
      </w:rPr>
      <w:tbl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1-16T09:17:15.485"/>
    </inkml:context>
    <inkml:brush xml:id="br0">
      <inkml:brushProperty name="width" value="0.05" units="cm"/>
      <inkml:brushProperty name="height" value="0.05" units="cm"/>
      <inkml:brushProperty name="color" value="#FF0066"/>
      <inkml:brushProperty name="ignorePressure" value="1"/>
    </inkml:brush>
  </inkml:definitions>
  <inkml:trace contextRef="#ctx0" brushRef="#br0">6578 6385</inkml:trace>
</inkml:ink>
</file>

<file path=customXml/itemProps1.xml><?xml version="1.0" encoding="utf-8"?>
<ds:datastoreItem xmlns:ds="http://schemas.openxmlformats.org/officeDocument/2006/customXml" ds:itemID="{5711AFB6-E05E-46CA-9358-87EA07D0193F}">
  <ds:schemaRefs>
    <ds:schemaRef ds:uri="http://schemas.openxmlformats.org/officeDocument/2006/bibliography"/>
  </ds:schemaRefs>
</ds:datastoreItem>
</file>

<file path=customXml/itemProps2.xml><?xml version="1.0" encoding="utf-8"?>
<ds:datastoreItem xmlns:ds="http://schemas.openxmlformats.org/officeDocument/2006/customXml" ds:itemID="{5711AFB6-E05E-46CA-9358-87EA07D01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2430</TotalTime>
  <Application>LibreOffice/6.2.3.2$Windows_x86 LibreOffice_project/aecc05fe267cc68dde00352a451aa867b3b546ac</Application>
  <Pages>36</Pages>
  <Words>10800</Words>
  <Characters>72505</Characters>
  <CharactersWithSpaces>82980</CharactersWithSpaces>
  <Paragraphs>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2022-03-10T11:25:00Z</dcterms:created>
  <dc:creator>Weronika Drzazga</dc:creator>
  <dc:description/>
  <dc:language>pl-PL</dc:language>
  <cp:lastModifiedBy/>
  <cp:lastPrinted>2022-12-01T10:17:00Z</cp:lastPrinted>
  <dcterms:modified xsi:type="dcterms:W3CDTF">2023-02-28T15:34:10Z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