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6.1.0.0 -->
  <w:background w:color="ffffff">
    <v:background id="_x0000_s1025" filled="t"/>
  </w:background>
  <w:body>
    <w:p w:rsidR="00F32B68" w:rsidRPr="00AB725C">
      <w:pPr>
        <w:tabs>
          <w:tab w:val="center" w:pos="1418"/>
        </w:tabs>
        <w:snapToGrid w:val="0"/>
        <w:ind w:right="15"/>
        <w:jc w:val="right"/>
        <w:rPr>
          <w:sz w:val="24"/>
          <w:szCs w:val="24"/>
        </w:rPr>
      </w:pPr>
      <w:r w:rsidRPr="00AB725C">
        <w:rPr>
          <w:sz w:val="24"/>
          <w:szCs w:val="24"/>
        </w:rPr>
        <w:t xml:space="preserve">Łódź, </w:t>
      </w:r>
      <w:bookmarkStart w:id="0" w:name="ezdDataPodpisu"/>
      <w:r w:rsidRPr="00AB725C">
        <w:rPr>
          <w:sz w:val="24"/>
          <w:szCs w:val="24"/>
        </w:rPr>
        <w:t>6 lutego 2023</w:t>
      </w:r>
      <w:bookmarkEnd w:id="0"/>
      <w:r w:rsidRPr="00AB725C">
        <w:rPr>
          <w:sz w:val="24"/>
          <w:szCs w:val="24"/>
        </w:rPr>
        <w:t xml:space="preserve"> r.</w:t>
      </w:r>
    </w:p>
    <w:p w:rsidR="00F32B68" w:rsidP="00EE5A1A">
      <w:pPr>
        <w:tabs>
          <w:tab w:val="center" w:pos="1418"/>
        </w:tabs>
        <w:rPr>
          <w:sz w:val="24"/>
          <w:szCs w:val="24"/>
        </w:rPr>
      </w:pPr>
      <w:bookmarkStart w:id="1" w:name="ezdSprawaZnak"/>
      <w:r w:rsidRPr="00AB725C">
        <w:rPr>
          <w:sz w:val="24"/>
          <w:szCs w:val="24"/>
        </w:rPr>
        <w:t>GPB-I.747.</w:t>
      </w:r>
      <w:r w:rsidR="00664802">
        <w:rPr>
          <w:sz w:val="24"/>
          <w:szCs w:val="24"/>
        </w:rPr>
        <w:t>6</w:t>
      </w:r>
      <w:r w:rsidRPr="00AB725C">
        <w:rPr>
          <w:sz w:val="24"/>
          <w:szCs w:val="24"/>
        </w:rPr>
        <w:t>.202</w:t>
      </w:r>
      <w:bookmarkEnd w:id="1"/>
      <w:r w:rsidR="00664802">
        <w:rPr>
          <w:sz w:val="24"/>
          <w:szCs w:val="24"/>
        </w:rPr>
        <w:t>0</w:t>
      </w:r>
    </w:p>
    <w:p w:rsidR="00EE5A1A" w:rsidP="00664802">
      <w:pPr>
        <w:tabs>
          <w:tab w:val="center" w:pos="1985"/>
        </w:tabs>
        <w:rPr>
          <w:sz w:val="24"/>
          <w:szCs w:val="24"/>
        </w:rPr>
      </w:pPr>
      <w:r>
        <w:rPr>
          <w:sz w:val="24"/>
          <w:szCs w:val="24"/>
        </w:rPr>
        <w:t>MM</w:t>
      </w:r>
    </w:p>
    <w:p w:rsidR="00EE5A1A" w:rsidP="00EE5A1A">
      <w:pPr>
        <w:snapToGrid w:val="0"/>
        <w:rPr>
          <w:sz w:val="24"/>
          <w:szCs w:val="24"/>
        </w:rPr>
      </w:pPr>
    </w:p>
    <w:p w:rsidR="00EE5A1A" w:rsidP="00EE5A1A">
      <w:pPr>
        <w:jc w:val="center"/>
        <w:rPr>
          <w:b/>
          <w:bCs/>
          <w:sz w:val="24"/>
          <w:szCs w:val="24"/>
        </w:rPr>
      </w:pPr>
      <w:r>
        <w:rPr>
          <w:b/>
          <w:bCs/>
          <w:sz w:val="24"/>
          <w:szCs w:val="24"/>
        </w:rPr>
        <w:t>ZAWIADOMIENIE WOJEWODY ŁÓDZKIEGO</w:t>
      </w:r>
    </w:p>
    <w:p w:rsidR="00664802" w:rsidRPr="007D6EAF" w:rsidP="00664802">
      <w:pPr>
        <w:jc w:val="center"/>
        <w:rPr>
          <w:b/>
          <w:sz w:val="24"/>
          <w:szCs w:val="24"/>
        </w:rPr>
      </w:pPr>
      <w:r>
        <w:rPr>
          <w:b/>
          <w:sz w:val="23"/>
          <w:szCs w:val="23"/>
        </w:rPr>
        <w:t xml:space="preserve">o wpływie wniosku o przywrócenie terminu do wniesienia odwołania oraz o wniesieniu odwołania od </w:t>
      </w:r>
      <w:r w:rsidR="003E27CB">
        <w:rPr>
          <w:b/>
          <w:sz w:val="23"/>
          <w:szCs w:val="23"/>
        </w:rPr>
        <w:t xml:space="preserve">ostatecznej </w:t>
      </w:r>
      <w:r>
        <w:rPr>
          <w:b/>
          <w:sz w:val="23"/>
          <w:szCs w:val="23"/>
        </w:rPr>
        <w:t>decyzji o</w:t>
      </w:r>
      <w:r w:rsidRPr="00BF60C2">
        <w:rPr>
          <w:b/>
          <w:sz w:val="24"/>
          <w:szCs w:val="24"/>
        </w:rPr>
        <w:t xml:space="preserve"> ustaleni</w:t>
      </w:r>
      <w:r>
        <w:rPr>
          <w:b/>
          <w:sz w:val="24"/>
          <w:szCs w:val="24"/>
        </w:rPr>
        <w:t>u</w:t>
      </w:r>
      <w:r w:rsidRPr="00BF60C2">
        <w:rPr>
          <w:b/>
          <w:sz w:val="24"/>
          <w:szCs w:val="24"/>
        </w:rPr>
        <w:t xml:space="preserve"> lokalizacji strategicznej inwestycji</w:t>
      </w:r>
      <w:r>
        <w:rPr>
          <w:b/>
          <w:sz w:val="24"/>
          <w:szCs w:val="24"/>
        </w:rPr>
        <w:t xml:space="preserve"> </w:t>
      </w:r>
      <w:r w:rsidRPr="00BF60C2">
        <w:rPr>
          <w:b/>
          <w:sz w:val="24"/>
          <w:szCs w:val="24"/>
        </w:rPr>
        <w:t>w sektorze naftowym</w:t>
      </w:r>
      <w:r>
        <w:rPr>
          <w:b/>
          <w:sz w:val="24"/>
          <w:szCs w:val="24"/>
        </w:rPr>
        <w:t xml:space="preserve"> </w:t>
      </w:r>
    </w:p>
    <w:p w:rsidR="00664802" w:rsidP="00EE5A1A">
      <w:pPr>
        <w:spacing w:line="276" w:lineRule="auto"/>
        <w:ind w:firstLine="567"/>
        <w:jc w:val="both"/>
        <w:rPr>
          <w:sz w:val="24"/>
          <w:szCs w:val="24"/>
        </w:rPr>
      </w:pPr>
    </w:p>
    <w:p w:rsidR="00664802" w:rsidP="00EE5A1A">
      <w:pPr>
        <w:spacing w:line="276" w:lineRule="auto"/>
        <w:ind w:firstLine="567"/>
        <w:jc w:val="both"/>
        <w:rPr>
          <w:sz w:val="24"/>
          <w:szCs w:val="24"/>
        </w:rPr>
      </w:pPr>
      <w:r w:rsidRPr="00360D51">
        <w:rPr>
          <w:sz w:val="24"/>
          <w:szCs w:val="24"/>
        </w:rPr>
        <w:t xml:space="preserve">Działając na podstawie art. </w:t>
      </w:r>
      <w:r>
        <w:rPr>
          <w:sz w:val="24"/>
          <w:szCs w:val="24"/>
        </w:rPr>
        <w:t>10</w:t>
      </w:r>
      <w:r w:rsidRPr="00360D51">
        <w:rPr>
          <w:sz w:val="24"/>
          <w:szCs w:val="24"/>
        </w:rPr>
        <w:t xml:space="preserve"> </w:t>
      </w:r>
      <w:r>
        <w:rPr>
          <w:sz w:val="24"/>
          <w:szCs w:val="24"/>
        </w:rPr>
        <w:t>ust. 1 i 2</w:t>
      </w:r>
      <w:r w:rsidR="007513BD">
        <w:rPr>
          <w:sz w:val="24"/>
          <w:szCs w:val="24"/>
        </w:rPr>
        <w:t xml:space="preserve"> </w:t>
      </w:r>
      <w:r>
        <w:rPr>
          <w:sz w:val="24"/>
          <w:szCs w:val="24"/>
        </w:rPr>
        <w:t>ustawy z dnia 22 </w:t>
      </w:r>
      <w:r w:rsidRPr="00360D51">
        <w:rPr>
          <w:sz w:val="24"/>
          <w:szCs w:val="24"/>
        </w:rPr>
        <w:t>l</w:t>
      </w:r>
      <w:r>
        <w:rPr>
          <w:sz w:val="24"/>
          <w:szCs w:val="24"/>
        </w:rPr>
        <w:t>utego 2019 r. o przygotowaniu i </w:t>
      </w:r>
      <w:r w:rsidRPr="00360D51">
        <w:rPr>
          <w:sz w:val="24"/>
          <w:szCs w:val="24"/>
        </w:rPr>
        <w:t>realizacji strategicznych inwe</w:t>
      </w:r>
      <w:r>
        <w:rPr>
          <w:sz w:val="24"/>
          <w:szCs w:val="24"/>
        </w:rPr>
        <w:t xml:space="preserve">stycji w sektorze naftowym (Dz. U. z 2022 r. poz. 1275 </w:t>
      </w:r>
      <w:r w:rsidRPr="00360D51">
        <w:rPr>
          <w:sz w:val="24"/>
          <w:szCs w:val="24"/>
        </w:rPr>
        <w:t>z późn. zm.)</w:t>
      </w:r>
      <w:r>
        <w:rPr>
          <w:sz w:val="24"/>
          <w:szCs w:val="24"/>
        </w:rPr>
        <w:t xml:space="preserve"> – zwanej dalej </w:t>
      </w:r>
      <w:r w:rsidRPr="007F08BD">
        <w:rPr>
          <w:i/>
          <w:sz w:val="24"/>
          <w:szCs w:val="24"/>
        </w:rPr>
        <w:t>ustawą</w:t>
      </w:r>
      <w:r>
        <w:rPr>
          <w:sz w:val="24"/>
          <w:szCs w:val="24"/>
        </w:rPr>
        <w:t xml:space="preserve">, </w:t>
      </w:r>
      <w:r w:rsidR="00EE5A1A">
        <w:rPr>
          <w:sz w:val="24"/>
          <w:szCs w:val="24"/>
        </w:rPr>
        <w:t>jak również art. 131 ustawy z dnia 14 czerwca 1960 r. – Kodeks postępowania administr</w:t>
      </w:r>
      <w:r>
        <w:rPr>
          <w:sz w:val="24"/>
          <w:szCs w:val="24"/>
        </w:rPr>
        <w:t>acyjnego (Dz. U. z 2022 r. poz. </w:t>
      </w:r>
      <w:r w:rsidR="00EE5A1A">
        <w:rPr>
          <w:sz w:val="24"/>
          <w:szCs w:val="24"/>
        </w:rPr>
        <w:t xml:space="preserve">2000 z późn. zm.) – zwanej dalej </w:t>
      </w:r>
      <w:r w:rsidR="00EE5A1A">
        <w:rPr>
          <w:i/>
          <w:iCs/>
          <w:sz w:val="24"/>
          <w:szCs w:val="24"/>
        </w:rPr>
        <w:t>Kpa</w:t>
      </w:r>
      <w:r w:rsidR="00EE5A1A">
        <w:rPr>
          <w:sz w:val="24"/>
          <w:szCs w:val="24"/>
        </w:rPr>
        <w:t>,</w:t>
      </w:r>
      <w:r>
        <w:rPr>
          <w:sz w:val="24"/>
          <w:szCs w:val="24"/>
        </w:rPr>
        <w:t xml:space="preserve"> Wojewoda Łódzki zawiadamia, że wpłynął wn</w:t>
      </w:r>
      <w:r w:rsidR="007513BD">
        <w:rPr>
          <w:sz w:val="24"/>
          <w:szCs w:val="24"/>
        </w:rPr>
        <w:t>iosek o przywrócenie terminu do </w:t>
      </w:r>
      <w:r>
        <w:rPr>
          <w:sz w:val="24"/>
          <w:szCs w:val="24"/>
        </w:rPr>
        <w:t>wniesienia odwołania oraz wniesione z</w:t>
      </w:r>
      <w:r w:rsidR="003E27CB">
        <w:rPr>
          <w:sz w:val="24"/>
          <w:szCs w:val="24"/>
        </w:rPr>
        <w:t xml:space="preserve">ostało odwołanie od ostatecznej </w:t>
      </w:r>
      <w:r w:rsidRPr="00700C6F">
        <w:rPr>
          <w:bCs/>
          <w:sz w:val="24"/>
          <w:lang w:eastAsia="pl-PL"/>
        </w:rPr>
        <w:t xml:space="preserve">decyzji Wojewody Łódzkiego Nr </w:t>
      </w:r>
      <w:r>
        <w:rPr>
          <w:bCs/>
          <w:sz w:val="24"/>
          <w:lang w:eastAsia="pl-PL"/>
        </w:rPr>
        <w:t>1</w:t>
      </w:r>
      <w:r w:rsidRPr="00700C6F">
        <w:rPr>
          <w:bCs/>
          <w:sz w:val="24"/>
          <w:lang w:eastAsia="pl-PL"/>
        </w:rPr>
        <w:t>/202</w:t>
      </w:r>
      <w:r>
        <w:rPr>
          <w:bCs/>
          <w:sz w:val="24"/>
          <w:lang w:eastAsia="pl-PL"/>
        </w:rPr>
        <w:t>0</w:t>
      </w:r>
      <w:r w:rsidRPr="00700C6F">
        <w:rPr>
          <w:bCs/>
          <w:sz w:val="24"/>
          <w:lang w:eastAsia="pl-PL"/>
        </w:rPr>
        <w:t xml:space="preserve"> z </w:t>
      </w:r>
      <w:r>
        <w:rPr>
          <w:bCs/>
          <w:sz w:val="24"/>
          <w:lang w:eastAsia="pl-PL"/>
        </w:rPr>
        <w:t>2</w:t>
      </w:r>
      <w:r w:rsidRPr="00700C6F">
        <w:rPr>
          <w:bCs/>
          <w:sz w:val="24"/>
          <w:lang w:eastAsia="pl-PL"/>
        </w:rPr>
        <w:t>0 li</w:t>
      </w:r>
      <w:r>
        <w:rPr>
          <w:bCs/>
          <w:sz w:val="24"/>
          <w:lang w:eastAsia="pl-PL"/>
        </w:rPr>
        <w:t>pca 2020</w:t>
      </w:r>
      <w:r w:rsidRPr="00700C6F">
        <w:rPr>
          <w:bCs/>
          <w:sz w:val="24"/>
          <w:lang w:eastAsia="pl-PL"/>
        </w:rPr>
        <w:t xml:space="preserve"> r. </w:t>
      </w:r>
      <w:r w:rsidRPr="00700C6F">
        <w:rPr>
          <w:rFonts w:eastAsia="SimSun"/>
          <w:kern w:val="1"/>
          <w:sz w:val="24"/>
          <w:szCs w:val="24"/>
          <w:lang w:bidi="hi-IN"/>
        </w:rPr>
        <w:t xml:space="preserve">o ustaleniu lokalizacji </w:t>
      </w:r>
      <w:r w:rsidR="007513BD">
        <w:rPr>
          <w:rFonts w:eastAsia="SimSun"/>
          <w:kern w:val="1"/>
          <w:sz w:val="24"/>
          <w:szCs w:val="24"/>
          <w:lang w:bidi="hi-IN"/>
        </w:rPr>
        <w:t>strategicznej inwestycji w </w:t>
      </w:r>
      <w:bookmarkStart w:id="2" w:name="_GoBack"/>
      <w:bookmarkEnd w:id="2"/>
      <w:r>
        <w:rPr>
          <w:rFonts w:eastAsia="SimSun"/>
          <w:kern w:val="1"/>
          <w:sz w:val="24"/>
          <w:szCs w:val="24"/>
          <w:lang w:bidi="hi-IN"/>
        </w:rPr>
        <w:t>sektorze naftowym dla realizacji inwestycji pn.: „Budowa rurociągu prod</w:t>
      </w:r>
      <w:r>
        <w:rPr>
          <w:rFonts w:eastAsia="SimSun"/>
          <w:sz w:val="24"/>
          <w:szCs w:val="24"/>
          <w:lang w:bidi="hi-IN"/>
        </w:rPr>
        <w:t xml:space="preserve">uktowego Boronów – Trzebinia”, </w:t>
      </w:r>
      <w:r>
        <w:rPr>
          <w:rFonts w:eastAsia="SimSun"/>
          <w:kern w:val="1"/>
          <w:sz w:val="24"/>
          <w:szCs w:val="24"/>
          <w:lang w:bidi="hi-IN"/>
        </w:rPr>
        <w:t>polegającej na budowie obiektów budowlanych Stacji Pomp J</w:t>
      </w:r>
      <w:r>
        <w:rPr>
          <w:rFonts w:eastAsia="SimSun"/>
          <w:sz w:val="24"/>
          <w:szCs w:val="24"/>
          <w:lang w:bidi="hi-IN"/>
        </w:rPr>
        <w:t>eżów wraz z </w:t>
      </w:r>
      <w:r>
        <w:rPr>
          <w:rFonts w:eastAsia="SimSun"/>
          <w:kern w:val="1"/>
          <w:sz w:val="24"/>
          <w:szCs w:val="24"/>
          <w:lang w:bidi="hi-IN"/>
        </w:rPr>
        <w:t>niezbędną infrastrukturą</w:t>
      </w:r>
      <w:r>
        <w:rPr>
          <w:rFonts w:eastAsia="SimSun"/>
          <w:sz w:val="24"/>
          <w:szCs w:val="24"/>
          <w:lang w:bidi="hi-IN"/>
        </w:rPr>
        <w:t xml:space="preserve">. </w:t>
      </w:r>
      <w:r>
        <w:rPr>
          <w:sz w:val="24"/>
          <w:szCs w:val="24"/>
        </w:rPr>
        <w:t xml:space="preserve"> </w:t>
      </w:r>
    </w:p>
    <w:p w:rsidR="00664802" w:rsidP="00664802">
      <w:pPr>
        <w:spacing w:line="276" w:lineRule="auto"/>
        <w:jc w:val="both"/>
        <w:rPr>
          <w:sz w:val="24"/>
          <w:szCs w:val="24"/>
        </w:rPr>
      </w:pPr>
    </w:p>
    <w:p w:rsidR="00EE5A1A" w:rsidP="00EE5A1A">
      <w:pPr>
        <w:spacing w:line="276" w:lineRule="auto"/>
        <w:ind w:firstLine="567"/>
        <w:jc w:val="both"/>
        <w:rPr>
          <w:sz w:val="24"/>
          <w:szCs w:val="24"/>
        </w:rPr>
      </w:pPr>
      <w:r>
        <w:rPr>
          <w:sz w:val="24"/>
          <w:szCs w:val="24"/>
        </w:rPr>
        <w:t>Wniosek oraz odwołanie</w:t>
      </w:r>
      <w:r>
        <w:rPr>
          <w:sz w:val="24"/>
          <w:szCs w:val="24"/>
        </w:rPr>
        <w:t xml:space="preserve"> wraz z aktami sprawy, w tym ww. </w:t>
      </w:r>
      <w:r w:rsidR="00667C48">
        <w:rPr>
          <w:sz w:val="24"/>
          <w:szCs w:val="24"/>
        </w:rPr>
        <w:t xml:space="preserve">ostateczną </w:t>
      </w:r>
      <w:r>
        <w:rPr>
          <w:sz w:val="24"/>
          <w:szCs w:val="24"/>
        </w:rPr>
        <w:t xml:space="preserve">decyzją Wojewody Łódzkiego, stosownie do art. 133 </w:t>
      </w:r>
      <w:r>
        <w:rPr>
          <w:i/>
          <w:sz w:val="24"/>
          <w:szCs w:val="24"/>
        </w:rPr>
        <w:t>Kpa</w:t>
      </w:r>
      <w:r>
        <w:rPr>
          <w:sz w:val="24"/>
          <w:szCs w:val="24"/>
        </w:rPr>
        <w:t>,</w:t>
      </w:r>
      <w:r>
        <w:rPr>
          <w:sz w:val="24"/>
          <w:szCs w:val="24"/>
        </w:rPr>
        <w:t xml:space="preserve"> </w:t>
      </w:r>
      <w:r w:rsidRPr="007F08BD">
        <w:rPr>
          <w:sz w:val="24"/>
          <w:szCs w:val="24"/>
        </w:rPr>
        <w:t>w związku z art.</w:t>
      </w:r>
      <w:r>
        <w:rPr>
          <w:sz w:val="24"/>
          <w:szCs w:val="24"/>
        </w:rPr>
        <w:t xml:space="preserve"> 3 ust. </w:t>
      </w:r>
      <w:r w:rsidRPr="007F08BD">
        <w:rPr>
          <w:sz w:val="24"/>
          <w:szCs w:val="24"/>
        </w:rPr>
        <w:t xml:space="preserve">3 </w:t>
      </w:r>
      <w:r w:rsidRPr="007F08BD">
        <w:rPr>
          <w:i/>
          <w:sz w:val="24"/>
          <w:szCs w:val="24"/>
        </w:rPr>
        <w:t>ustawy</w:t>
      </w:r>
      <w:r>
        <w:rPr>
          <w:i/>
          <w:sz w:val="24"/>
          <w:szCs w:val="24"/>
        </w:rPr>
        <w:t xml:space="preserve"> </w:t>
      </w:r>
      <w:r>
        <w:rPr>
          <w:sz w:val="24"/>
          <w:szCs w:val="24"/>
        </w:rPr>
        <w:t xml:space="preserve">i </w:t>
      </w:r>
      <w:r>
        <w:rPr>
          <w:bCs/>
          <w:sz w:val="24"/>
          <w:lang w:eastAsia="pl-PL"/>
        </w:rPr>
        <w:t xml:space="preserve">59 § 2 </w:t>
      </w:r>
      <w:r w:rsidRPr="002D70BD">
        <w:rPr>
          <w:bCs/>
          <w:i/>
          <w:sz w:val="24"/>
          <w:lang w:eastAsia="pl-PL"/>
        </w:rPr>
        <w:t>Kpa</w:t>
      </w:r>
      <w:r>
        <w:rPr>
          <w:sz w:val="24"/>
          <w:szCs w:val="24"/>
        </w:rPr>
        <w:t>, przekazane zostały w celu rozpatrzenia do Ministra Rozwoju i Technologii - Pl. Trzech Krzyży 3/5, 00-507 Warszawa.</w:t>
      </w:r>
    </w:p>
    <w:p w:rsidR="00EE5A1A" w:rsidP="00EE5A1A">
      <w:pPr>
        <w:spacing w:line="480" w:lineRule="auto"/>
        <w:ind w:left="709"/>
        <w:rPr>
          <w:b/>
          <w:bCs/>
          <w:sz w:val="24"/>
          <w:szCs w:val="24"/>
          <w:lang w:eastAsia="pl-PL"/>
        </w:rPr>
      </w:pPr>
    </w:p>
    <w:p w:rsidR="00D167A1" w:rsidP="00D167A1">
      <w:pPr>
        <w:tabs>
          <w:tab w:val="center" w:pos="6345"/>
        </w:tabs>
        <w:snapToGrid w:val="0"/>
        <w:ind w:left="4965"/>
        <w:jc w:val="center"/>
        <w:rPr>
          <w:b/>
          <w:bCs/>
          <w:iCs/>
          <w:sz w:val="24"/>
          <w:szCs w:val="24"/>
          <w:lang w:eastAsia="pl-PL"/>
        </w:rPr>
      </w:pPr>
      <w:r>
        <w:rPr>
          <w:b/>
          <w:bCs/>
          <w:sz w:val="24"/>
          <w:szCs w:val="24"/>
          <w:lang w:eastAsia="pl-PL"/>
        </w:rPr>
        <w:t>Z up. WOJEWODY ŁÓDZKIEGO</w:t>
      </w:r>
      <w:r>
        <w:rPr>
          <w:b/>
          <w:bCs/>
          <w:sz w:val="24"/>
          <w:szCs w:val="24"/>
          <w:lang w:eastAsia="pl-PL"/>
        </w:rPr>
        <w:br/>
      </w:r>
      <w:r>
        <w:rPr>
          <w:b/>
          <w:bCs/>
          <w:sz w:val="24"/>
          <w:szCs w:val="24"/>
          <w:lang w:eastAsia="pl-PL"/>
        </w:rPr>
        <w:br/>
      </w:r>
      <w:r>
        <w:rPr>
          <w:b/>
          <w:bCs/>
          <w:i/>
          <w:iCs/>
          <w:sz w:val="24"/>
          <w:szCs w:val="24"/>
          <w:lang w:eastAsia="pl-PL"/>
        </w:rPr>
        <w:t>Magdalena Gawrysiak</w:t>
      </w:r>
      <w:r>
        <w:rPr>
          <w:b/>
          <w:bCs/>
          <w:i/>
          <w:iCs/>
          <w:sz w:val="24"/>
          <w:szCs w:val="24"/>
          <w:lang w:eastAsia="pl-PL"/>
        </w:rPr>
        <w:br/>
      </w:r>
      <w:r>
        <w:rPr>
          <w:b/>
          <w:bCs/>
          <w:iCs/>
          <w:sz w:val="24"/>
          <w:szCs w:val="24"/>
          <w:lang w:eastAsia="pl-PL"/>
        </w:rPr>
        <w:t xml:space="preserve">Kierownik Oddziału Planowania </w:t>
      </w:r>
    </w:p>
    <w:p w:rsidR="00D167A1" w:rsidP="00D167A1">
      <w:pPr>
        <w:tabs>
          <w:tab w:val="center" w:pos="6345"/>
        </w:tabs>
        <w:snapToGrid w:val="0"/>
        <w:ind w:left="4965"/>
        <w:jc w:val="center"/>
        <w:rPr>
          <w:b/>
          <w:bCs/>
          <w:iCs/>
          <w:sz w:val="24"/>
          <w:szCs w:val="24"/>
          <w:lang w:eastAsia="pl-PL"/>
        </w:rPr>
      </w:pPr>
      <w:r>
        <w:rPr>
          <w:b/>
          <w:bCs/>
          <w:iCs/>
          <w:sz w:val="24"/>
          <w:szCs w:val="24"/>
          <w:lang w:eastAsia="pl-PL"/>
        </w:rPr>
        <w:t xml:space="preserve">i Zagospodarowania Przestrzennego </w:t>
      </w:r>
    </w:p>
    <w:p w:rsidR="00D167A1" w:rsidP="00D167A1">
      <w:pPr>
        <w:tabs>
          <w:tab w:val="center" w:pos="6345"/>
        </w:tabs>
        <w:snapToGrid w:val="0"/>
        <w:ind w:left="4965"/>
        <w:jc w:val="center"/>
      </w:pPr>
      <w:r>
        <w:rPr>
          <w:b/>
          <w:bCs/>
          <w:iCs/>
          <w:sz w:val="24"/>
          <w:szCs w:val="24"/>
          <w:lang w:eastAsia="pl-PL"/>
        </w:rPr>
        <w:t>w Wydziale Gospodarki Przestrzennej i Budownictwa</w:t>
      </w:r>
    </w:p>
    <w:p w:rsidR="00D167A1" w:rsidP="00D167A1">
      <w:pPr>
        <w:tabs>
          <w:tab w:val="center" w:pos="6345"/>
        </w:tabs>
        <w:snapToGrid w:val="0"/>
        <w:ind w:left="4965"/>
        <w:jc w:val="center"/>
        <w:rPr>
          <w:bCs/>
          <w:iCs/>
          <w:lang w:eastAsia="pl-PL"/>
        </w:rPr>
      </w:pPr>
      <w:r>
        <w:rPr>
          <w:bCs/>
          <w:iCs/>
          <w:lang w:eastAsia="pl-PL"/>
        </w:rPr>
        <w:t xml:space="preserve">/dokument podpisano kwalifikowanym </w:t>
      </w:r>
    </w:p>
    <w:p w:rsidR="00D167A1" w:rsidP="00D167A1">
      <w:pPr>
        <w:tabs>
          <w:tab w:val="center" w:pos="6345"/>
        </w:tabs>
        <w:snapToGrid w:val="0"/>
        <w:ind w:left="4965"/>
        <w:jc w:val="center"/>
        <w:rPr>
          <w:b/>
          <w:bCs/>
          <w:iCs/>
        </w:rPr>
      </w:pPr>
      <w:r>
        <w:rPr>
          <w:bCs/>
          <w:iCs/>
          <w:lang w:eastAsia="pl-PL"/>
        </w:rPr>
        <w:t>podpisem elektronicznym/</w:t>
      </w:r>
    </w:p>
    <w:p w:rsidR="00EE5A1A" w:rsidP="00EE5A1A">
      <w:pPr>
        <w:tabs>
          <w:tab w:val="center" w:pos="6345"/>
        </w:tabs>
        <w:snapToGrid w:val="0"/>
        <w:rPr>
          <w:sz w:val="24"/>
          <w:szCs w:val="24"/>
        </w:rPr>
      </w:pPr>
    </w:p>
    <w:p w:rsidR="00EE5A1A" w:rsidP="00EE5A1A">
      <w:pPr>
        <w:tabs>
          <w:tab w:val="center" w:pos="6345"/>
        </w:tabs>
        <w:snapToGrid w:val="0"/>
        <w:rPr>
          <w:sz w:val="24"/>
          <w:szCs w:val="24"/>
        </w:rPr>
      </w:pPr>
    </w:p>
    <w:p w:rsidR="00EE5A1A" w:rsidP="00EE5A1A">
      <w:pPr>
        <w:tabs>
          <w:tab w:val="center" w:pos="6345"/>
        </w:tabs>
        <w:snapToGrid w:val="0"/>
        <w:rPr>
          <w:sz w:val="18"/>
          <w:szCs w:val="18"/>
        </w:rPr>
      </w:pPr>
    </w:p>
    <w:p w:rsidR="00EE5A1A" w:rsidP="00EE5A1A">
      <w:pPr>
        <w:tabs>
          <w:tab w:val="center" w:pos="6345"/>
        </w:tabs>
        <w:snapToGrid w:val="0"/>
        <w:rPr>
          <w:sz w:val="18"/>
          <w:szCs w:val="18"/>
        </w:rPr>
      </w:pPr>
    </w:p>
    <w:p w:rsidR="00EE5A1A" w:rsidP="00EE5A1A">
      <w:pPr>
        <w:tabs>
          <w:tab w:val="center" w:pos="6345"/>
        </w:tabs>
        <w:snapToGrid w:val="0"/>
        <w:rPr>
          <w:sz w:val="18"/>
          <w:szCs w:val="18"/>
        </w:rPr>
      </w:pPr>
    </w:p>
    <w:p w:rsidR="00EE5A1A" w:rsidP="00EE5A1A">
      <w:pPr>
        <w:tabs>
          <w:tab w:val="center" w:pos="6345"/>
        </w:tabs>
        <w:snapToGrid w:val="0"/>
        <w:rPr>
          <w:sz w:val="18"/>
          <w:szCs w:val="18"/>
        </w:rPr>
      </w:pPr>
      <w:r>
        <w:rPr>
          <w:sz w:val="18"/>
          <w:szCs w:val="18"/>
        </w:rPr>
        <w:t>Otrzymują:</w:t>
      </w:r>
    </w:p>
    <w:p w:rsidR="007C2ECE" w:rsidRPr="007C2ECE" w:rsidP="00664802">
      <w:pPr>
        <w:pStyle w:val="ListParagraph"/>
        <w:numPr>
          <w:ilvl w:val="0"/>
          <w:numId w:val="2"/>
        </w:numPr>
        <w:rPr>
          <w:rFonts w:ascii="Times New Roman" w:hAnsi="Times New Roman"/>
          <w:sz w:val="18"/>
          <w:szCs w:val="18"/>
        </w:rPr>
      </w:pPr>
      <w:r>
        <w:rPr>
          <w:rFonts w:ascii="Times New Roman" w:hAnsi="Times New Roman"/>
          <w:sz w:val="18"/>
          <w:szCs w:val="18"/>
          <w:lang w:val="pl-PL"/>
        </w:rPr>
        <w:t>Strona wnosząca wniosek wraz z</w:t>
      </w:r>
      <w:r>
        <w:rPr>
          <w:rFonts w:ascii="Times New Roman" w:hAnsi="Times New Roman"/>
          <w:sz w:val="18"/>
          <w:szCs w:val="18"/>
          <w:lang w:val="pl-PL"/>
        </w:rPr>
        <w:t xml:space="preserve"> odwołanie</w:t>
      </w:r>
      <w:r>
        <w:rPr>
          <w:rFonts w:ascii="Times New Roman" w:hAnsi="Times New Roman"/>
          <w:sz w:val="18"/>
          <w:szCs w:val="18"/>
          <w:lang w:val="pl-PL"/>
        </w:rPr>
        <w:t>m</w:t>
      </w:r>
      <w:r>
        <w:rPr>
          <w:rFonts w:ascii="Times New Roman" w:hAnsi="Times New Roman"/>
          <w:sz w:val="18"/>
          <w:szCs w:val="18"/>
          <w:lang w:val="pl-PL"/>
        </w:rPr>
        <w:t xml:space="preserve"> </w:t>
      </w:r>
    </w:p>
    <w:p w:rsidR="00DD41BC" w:rsidRPr="00DD41BC" w:rsidP="00664802">
      <w:pPr>
        <w:pStyle w:val="ListParagraph"/>
        <w:numPr>
          <w:ilvl w:val="0"/>
          <w:numId w:val="2"/>
        </w:numPr>
        <w:rPr>
          <w:rFonts w:ascii="Times New Roman" w:hAnsi="Times New Roman"/>
          <w:sz w:val="18"/>
          <w:szCs w:val="18"/>
        </w:rPr>
      </w:pPr>
      <w:r>
        <w:rPr>
          <w:rFonts w:ascii="Times New Roman" w:hAnsi="Times New Roman"/>
          <w:sz w:val="18"/>
          <w:szCs w:val="18"/>
          <w:lang w:val="pl-PL"/>
        </w:rPr>
        <w:t>Inwestor</w:t>
      </w:r>
    </w:p>
    <w:p w:rsidR="007C2ECE" w:rsidRPr="007C2ECE" w:rsidP="00664802">
      <w:pPr>
        <w:pStyle w:val="ListParagraph"/>
        <w:numPr>
          <w:ilvl w:val="0"/>
          <w:numId w:val="2"/>
        </w:numPr>
        <w:rPr>
          <w:rFonts w:ascii="Times New Roman" w:hAnsi="Times New Roman"/>
          <w:sz w:val="18"/>
          <w:szCs w:val="18"/>
        </w:rPr>
      </w:pPr>
      <w:r>
        <w:rPr>
          <w:rFonts w:ascii="Times New Roman" w:hAnsi="Times New Roman"/>
          <w:sz w:val="18"/>
          <w:szCs w:val="18"/>
          <w:lang w:val="pl-PL"/>
        </w:rPr>
        <w:t>Pozostali w</w:t>
      </w:r>
      <w:r>
        <w:rPr>
          <w:rFonts w:ascii="Times New Roman" w:hAnsi="Times New Roman"/>
          <w:sz w:val="18"/>
          <w:szCs w:val="18"/>
          <w:lang w:val="pl-PL"/>
        </w:rPr>
        <w:t>łaściciele i użytkownicy wieczyści nieruchomości (w drodze obwieszczenia)</w:t>
      </w:r>
    </w:p>
    <w:p w:rsidR="00664802" w:rsidP="00664802">
      <w:pPr>
        <w:pStyle w:val="ListParagraph"/>
        <w:numPr>
          <w:ilvl w:val="0"/>
          <w:numId w:val="2"/>
        </w:numPr>
        <w:rPr>
          <w:rFonts w:ascii="Times New Roman" w:hAnsi="Times New Roman"/>
          <w:sz w:val="18"/>
          <w:szCs w:val="18"/>
        </w:rPr>
      </w:pPr>
      <w:r>
        <w:rPr>
          <w:rFonts w:ascii="Times New Roman" w:hAnsi="Times New Roman"/>
          <w:color w:val="000000"/>
          <w:sz w:val="18"/>
          <w:szCs w:val="18"/>
          <w:lang w:val="pl-PL"/>
        </w:rPr>
        <w:t>Wójtowie gmin: Gorzkowice, Rozprza, Wola Krzysztoporska (za pośrednictwem platformy ePUAP)</w:t>
      </w:r>
    </w:p>
    <w:p w:rsidR="00664802" w:rsidRPr="007C2ECE" w:rsidP="00664802">
      <w:pPr>
        <w:pStyle w:val="ListParagraph"/>
        <w:numPr>
          <w:ilvl w:val="0"/>
          <w:numId w:val="2"/>
        </w:numPr>
        <w:rPr>
          <w:rFonts w:ascii="Times New Roman" w:hAnsi="Times New Roman"/>
          <w:sz w:val="18"/>
          <w:szCs w:val="18"/>
        </w:rPr>
      </w:pPr>
      <w:r>
        <w:rPr>
          <w:rFonts w:ascii="Times New Roman" w:hAnsi="Times New Roman"/>
          <w:color w:val="000000"/>
          <w:sz w:val="18"/>
          <w:szCs w:val="18"/>
          <w:lang w:val="pl-PL"/>
        </w:rPr>
        <w:t>Starosta Piotrkowski (za pośrednictwem platformy ePUAP)</w:t>
      </w:r>
    </w:p>
    <w:p w:rsidR="007C2ECE" w:rsidP="00664802">
      <w:pPr>
        <w:pStyle w:val="ListParagraph"/>
        <w:numPr>
          <w:ilvl w:val="0"/>
          <w:numId w:val="2"/>
        </w:numPr>
        <w:rPr>
          <w:rFonts w:ascii="Times New Roman" w:hAnsi="Times New Roman"/>
          <w:sz w:val="18"/>
          <w:szCs w:val="18"/>
        </w:rPr>
      </w:pPr>
      <w:r>
        <w:rPr>
          <w:rFonts w:ascii="Times New Roman" w:hAnsi="Times New Roman"/>
          <w:color w:val="000000"/>
          <w:sz w:val="18"/>
          <w:szCs w:val="18"/>
          <w:lang w:val="pl-PL"/>
        </w:rPr>
        <w:t xml:space="preserve">Marszałek Województwa Łódzkiego (za pośrednictwem platformy ePUAP) </w:t>
      </w:r>
    </w:p>
    <w:p w:rsidR="00664802" w:rsidP="00EE5A1A">
      <w:pPr>
        <w:numPr>
          <w:ilvl w:val="0"/>
          <w:numId w:val="2"/>
        </w:numPr>
        <w:snapToGrid w:val="0"/>
        <w:rPr>
          <w:sz w:val="18"/>
          <w:szCs w:val="18"/>
        </w:rPr>
      </w:pPr>
      <w:r>
        <w:rPr>
          <w:sz w:val="18"/>
          <w:szCs w:val="18"/>
        </w:rPr>
        <w:t>Wydział Gospodarki Nieruchomościami ŁUW w Łodzi</w:t>
      </w:r>
    </w:p>
    <w:p w:rsidR="00EE5A1A" w:rsidP="00EE5A1A">
      <w:pPr>
        <w:numPr>
          <w:ilvl w:val="0"/>
          <w:numId w:val="2"/>
        </w:numPr>
        <w:snapToGrid w:val="0"/>
        <w:rPr>
          <w:sz w:val="18"/>
          <w:szCs w:val="18"/>
        </w:rPr>
      </w:pPr>
      <w:r>
        <w:rPr>
          <w:sz w:val="18"/>
          <w:szCs w:val="18"/>
        </w:rPr>
        <w:t>aa.</w:t>
      </w:r>
    </w:p>
    <w:p w:rsidR="00EE5A1A" w:rsidP="00EE5A1A">
      <w:pPr>
        <w:rPr>
          <w:b/>
        </w:rPr>
      </w:pPr>
      <w:r>
        <w:rPr>
          <w:b/>
        </w:rPr>
        <w:br w:type="page"/>
      </w:r>
    </w:p>
    <w:p w:rsidR="00EE5A1A" w:rsidRPr="00A625FD" w:rsidP="00EE5A1A">
      <w:pPr>
        <w:suppressAutoHyphens w:val="0"/>
        <w:jc w:val="center"/>
        <w:rPr>
          <w:sz w:val="22"/>
          <w:szCs w:val="24"/>
        </w:rPr>
      </w:pPr>
      <w:r w:rsidRPr="00A625FD">
        <w:rPr>
          <w:b/>
          <w:sz w:val="22"/>
          <w:szCs w:val="24"/>
        </w:rPr>
        <w:t>POUCZENIE</w:t>
      </w:r>
    </w:p>
    <w:p w:rsidR="00EE5A1A" w:rsidRPr="00A625FD" w:rsidP="00EE5A1A">
      <w:pPr>
        <w:suppressAutoHyphens w:val="0"/>
        <w:spacing w:line="276" w:lineRule="auto"/>
        <w:jc w:val="both"/>
        <w:rPr>
          <w:sz w:val="22"/>
          <w:szCs w:val="24"/>
        </w:rPr>
      </w:pPr>
      <w:r w:rsidRPr="00A625FD">
        <w:rPr>
          <w:bCs/>
          <w:sz w:val="22"/>
          <w:szCs w:val="24"/>
        </w:rPr>
        <w:t>Na podstawie art. 39</w:t>
      </w:r>
      <w:r w:rsidRPr="00A625FD">
        <w:rPr>
          <w:bCs/>
          <w:sz w:val="22"/>
          <w:szCs w:val="24"/>
          <w:vertAlign w:val="superscript"/>
        </w:rPr>
        <w:t>3</w:t>
      </w:r>
      <w:r w:rsidRPr="00A625FD">
        <w:rPr>
          <w:bCs/>
          <w:sz w:val="22"/>
          <w:szCs w:val="24"/>
        </w:rPr>
        <w:t xml:space="preserve"> </w:t>
      </w:r>
      <w:r w:rsidRPr="00A625FD">
        <w:rPr>
          <w:bCs/>
          <w:i/>
          <w:sz w:val="22"/>
          <w:szCs w:val="24"/>
        </w:rPr>
        <w:t>Kpa</w:t>
      </w:r>
      <w:r w:rsidRPr="00A625FD">
        <w:rPr>
          <w:bCs/>
          <w:sz w:val="22"/>
          <w:szCs w:val="24"/>
        </w:rPr>
        <w:t>, w</w:t>
      </w:r>
      <w:r w:rsidRPr="00A625FD">
        <w:rPr>
          <w:sz w:val="22"/>
          <w:szCs w:val="24"/>
        </w:rPr>
        <w:t xml:space="preserve"> przypadku pism wydanych przez organ administracji publicznej w formie dokumentu elektronicznego przy wykorzystaniu systemu teleinformatycznego, które zostały opatrzone kwalifikowanym podpisem elektronicznym, podpisem zaufanym albo podpisem osobistym, zaawansowaną pieczęcią elektroniczną albo kwalifikowaną pieczęcią elektroniczną, doręczenie może polegać na doręczeniu wydruku pisma uzyskanego z tego systemu odzwierciedlającego treść tego pisma, jeżeli strona lub inny uczestnik postępowania nie złożyła podania w formie dokumentu elektronicznego przez elektroniczną skrzynkę podawczą organu administracji publicznej, nie wystąpiła do organu administracji publicznej  o takie doręczenie lub nie wyraziła zgody na doręczanie pism w taki sposób.</w:t>
      </w:r>
    </w:p>
    <w:p w:rsidR="00EE5A1A" w:rsidRPr="00A625FD" w:rsidP="00EE5A1A">
      <w:pPr>
        <w:suppressAutoHyphens w:val="0"/>
        <w:spacing w:line="276" w:lineRule="auto"/>
        <w:jc w:val="both"/>
        <w:rPr>
          <w:sz w:val="22"/>
          <w:szCs w:val="24"/>
        </w:rPr>
      </w:pPr>
      <w:r w:rsidRPr="00A625FD">
        <w:rPr>
          <w:sz w:val="22"/>
          <w:szCs w:val="24"/>
        </w:rPr>
        <w:t>Wydruk pisma, o którym mowa powyżej zawiera:</w:t>
      </w:r>
    </w:p>
    <w:p w:rsidR="00EE5A1A" w:rsidRPr="00A625FD" w:rsidP="00EE5A1A">
      <w:pPr>
        <w:suppressAutoHyphens w:val="0"/>
        <w:spacing w:line="276" w:lineRule="auto"/>
        <w:ind w:left="426" w:hanging="284"/>
        <w:jc w:val="both"/>
        <w:rPr>
          <w:sz w:val="22"/>
          <w:szCs w:val="24"/>
        </w:rPr>
      </w:pPr>
      <w:r w:rsidRPr="00A625FD">
        <w:rPr>
          <w:bCs/>
          <w:sz w:val="22"/>
          <w:szCs w:val="24"/>
        </w:rPr>
        <w:t>1)</w:t>
      </w:r>
      <w:r w:rsidRPr="00A625FD">
        <w:rPr>
          <w:b/>
          <w:bCs/>
          <w:sz w:val="22"/>
          <w:szCs w:val="24"/>
        </w:rPr>
        <w:t xml:space="preserve"> </w:t>
      </w:r>
      <w:r w:rsidRPr="00A625FD">
        <w:rPr>
          <w:sz w:val="22"/>
          <w:szCs w:val="24"/>
        </w:rPr>
        <w:t>informację, że pismo zostało wydane w formie dokumentu elektronicznego i podpisane kwalifikowanym podpisem elektronicznym, podpisem zaufanym albo podpisem osobistym, ze wskazaniem imienia i nazwiska oraz stanowiska służbowego osoby, która je podpisała, albo opatrzone zaawansowaną pieczęcią elektroniczną albo kwalifikowaną pieczęcią elektroniczną;</w:t>
      </w:r>
    </w:p>
    <w:p w:rsidR="00EE5A1A" w:rsidRPr="00A625FD" w:rsidP="00EE5A1A">
      <w:pPr>
        <w:suppressAutoHyphens w:val="0"/>
        <w:spacing w:line="276" w:lineRule="auto"/>
        <w:ind w:left="426" w:hanging="284"/>
        <w:jc w:val="both"/>
        <w:rPr>
          <w:sz w:val="22"/>
          <w:szCs w:val="24"/>
        </w:rPr>
      </w:pPr>
      <w:r w:rsidRPr="00A625FD">
        <w:rPr>
          <w:bCs/>
          <w:sz w:val="22"/>
          <w:szCs w:val="24"/>
        </w:rPr>
        <w:t>2)</w:t>
      </w:r>
      <w:r w:rsidRPr="00A625FD">
        <w:rPr>
          <w:b/>
          <w:bCs/>
          <w:sz w:val="22"/>
          <w:szCs w:val="24"/>
        </w:rPr>
        <w:t xml:space="preserve"> </w:t>
      </w:r>
      <w:r w:rsidRPr="00A625FD">
        <w:rPr>
          <w:sz w:val="22"/>
          <w:szCs w:val="24"/>
        </w:rPr>
        <w:t>identyfikator tego pisma, nadawany przez system teleinformatyczny, za pomocą którego pismo zostało wydane.</w:t>
      </w:r>
    </w:p>
    <w:p w:rsidR="00EE5A1A" w:rsidP="00EE5A1A">
      <w:pPr>
        <w:suppressAutoHyphens w:val="0"/>
        <w:spacing w:line="276" w:lineRule="auto"/>
        <w:jc w:val="both"/>
        <w:rPr>
          <w:sz w:val="24"/>
          <w:szCs w:val="24"/>
        </w:rPr>
      </w:pPr>
      <w:r w:rsidRPr="00A625FD">
        <w:rPr>
          <w:b/>
          <w:sz w:val="22"/>
          <w:szCs w:val="24"/>
        </w:rPr>
        <w:t>Wydruk pisma</w:t>
      </w:r>
      <w:r w:rsidRPr="00A625FD">
        <w:rPr>
          <w:sz w:val="22"/>
          <w:szCs w:val="24"/>
        </w:rPr>
        <w:t xml:space="preserve">, o którym mowa powyżej, może zawierać mechanicznie odtwarzany podpis osoby, która podpisała pismo oraz </w:t>
      </w:r>
      <w:r w:rsidRPr="00A625FD">
        <w:rPr>
          <w:b/>
          <w:sz w:val="22"/>
          <w:szCs w:val="24"/>
        </w:rPr>
        <w:t>stanowi dowód tego, co zostało stwierdzone w piśmie wydanym w formie dokumentu elektronicznego</w:t>
      </w:r>
      <w:r w:rsidRPr="00A625FD">
        <w:rPr>
          <w:sz w:val="22"/>
          <w:szCs w:val="24"/>
        </w:rPr>
        <w:t>.</w:t>
      </w:r>
      <w:r>
        <w:br w:type="page"/>
      </w:r>
    </w:p>
    <w:p w:rsidR="00EE5A1A" w:rsidRPr="004F4BCA" w:rsidP="00EE5A1A">
      <w:pPr>
        <w:suppressAutoHyphens w:val="0"/>
        <w:jc w:val="center"/>
        <w:rPr>
          <w:lang w:eastAsia="pl-PL"/>
        </w:rPr>
      </w:pPr>
      <w:r w:rsidRPr="004F4BCA">
        <w:rPr>
          <w:lang w:eastAsia="pl-PL"/>
        </w:rPr>
        <w:t>KLAUZULA INFORMACYJNA</w:t>
      </w:r>
    </w:p>
    <w:p w:rsidR="00EE5A1A" w:rsidRPr="004F4BCA" w:rsidP="00EE5A1A">
      <w:pPr>
        <w:spacing w:after="105"/>
        <w:jc w:val="center"/>
        <w:rPr>
          <w:lang w:eastAsia="pl-PL"/>
        </w:rPr>
      </w:pPr>
      <w:r w:rsidRPr="004F4BCA">
        <w:rPr>
          <w:lang w:eastAsia="pl-PL"/>
        </w:rPr>
        <w:t>dotycząca prowadzenia postępowań w sprawie ustalenia warunków zabudowy lub lokalizacji inwestycji</w:t>
      </w:r>
    </w:p>
    <w:p w:rsidR="00EE5A1A" w:rsidRPr="004F4BCA" w:rsidP="00EE5A1A">
      <w:pPr>
        <w:spacing w:after="105"/>
        <w:jc w:val="center"/>
        <w:rPr>
          <w:lang w:eastAsia="pl-PL"/>
        </w:rPr>
      </w:pPr>
    </w:p>
    <w:p w:rsidR="00EE5A1A" w:rsidRPr="004F4BCA" w:rsidP="00EE5A1A">
      <w:pPr>
        <w:spacing w:after="105"/>
        <w:jc w:val="both"/>
        <w:rPr>
          <w:lang w:eastAsia="pl-PL"/>
        </w:rPr>
      </w:pPr>
      <w:r w:rsidRPr="004F4BCA">
        <w:rPr>
          <w:lang w:eastAsia="pl-PL"/>
        </w:rPr>
        <w:t>Zgodnie z art. 13 ust. 1 i 2 Ogólnego Rozporządzenia o Ochronie Danych Osobowych z dnia 27 kwietnia 2016 r. (dalej Rozporządzenie) informujemy, że:</w:t>
      </w:r>
    </w:p>
    <w:p w:rsidR="00EE5A1A" w:rsidRPr="004F4BCA" w:rsidP="00EE5A1A">
      <w:pPr>
        <w:numPr>
          <w:ilvl w:val="0"/>
          <w:numId w:val="3"/>
        </w:numPr>
        <w:jc w:val="both"/>
        <w:rPr>
          <w:lang w:eastAsia="pl-PL"/>
        </w:rPr>
      </w:pPr>
      <w:r w:rsidRPr="004F4BCA">
        <w:rPr>
          <w:lang w:eastAsia="pl-PL"/>
        </w:rPr>
        <w:t>Administratorem Pani/Pana danych osobowych jest Wojewoda Łódzki z siedzibą w Łodzi pod adresem ul. Piotrkowska 104, 90-926 Łódź.</w:t>
      </w:r>
    </w:p>
    <w:p w:rsidR="00EE5A1A" w:rsidRPr="004F4BCA" w:rsidP="00EE5A1A">
      <w:pPr>
        <w:numPr>
          <w:ilvl w:val="0"/>
          <w:numId w:val="3"/>
        </w:numPr>
        <w:jc w:val="both"/>
        <w:rPr>
          <w:lang w:eastAsia="pl-PL"/>
        </w:rPr>
      </w:pPr>
      <w:r w:rsidRPr="004F4BCA">
        <w:rPr>
          <w:lang w:eastAsia="pl-PL"/>
        </w:rPr>
        <w:t>Inspektorem ochrony danych w Łódzkim Urzędzie Wojewódzkim w Łodzi jest Pani Małgorzata Olczyk iod@lodz.uw.gov.pl, tel. /42/ 664-10-45.</w:t>
      </w:r>
    </w:p>
    <w:p w:rsidR="00EE5A1A" w:rsidRPr="004F4BCA" w:rsidP="00EE5A1A">
      <w:pPr>
        <w:numPr>
          <w:ilvl w:val="0"/>
          <w:numId w:val="3"/>
        </w:numPr>
        <w:jc w:val="both"/>
        <w:rPr>
          <w:lang w:eastAsia="pl-PL"/>
        </w:rPr>
      </w:pPr>
      <w:r w:rsidRPr="004F4BCA">
        <w:rPr>
          <w:lang w:eastAsia="pl-PL"/>
        </w:rPr>
        <w:t>Pani/Pana dane osobowe przetwarzane będą w celu:</w:t>
      </w:r>
    </w:p>
    <w:p w:rsidR="00EE5A1A" w:rsidRPr="004F4BCA" w:rsidP="00EE5A1A">
      <w:pPr>
        <w:numPr>
          <w:ilvl w:val="1"/>
          <w:numId w:val="3"/>
        </w:numPr>
        <w:jc w:val="both"/>
        <w:rPr>
          <w:lang w:eastAsia="pl-PL"/>
        </w:rPr>
      </w:pPr>
      <w:r w:rsidRPr="004F4BCA">
        <w:rPr>
          <w:lang w:eastAsia="pl-PL"/>
        </w:rPr>
        <w:t>wydania decyzji w sprawie ustalenia warunków zabudowy lub lokalizacji inwestycji na podstawie odpowiednich przepisów prawa</w:t>
      </w:r>
      <w:r>
        <w:rPr>
          <w:vertAlign w:val="superscript"/>
          <w:lang w:eastAsia="pl-PL"/>
        </w:rPr>
        <w:footnoteReference w:id="2"/>
      </w:r>
      <w:r w:rsidRPr="004F4BCA">
        <w:rPr>
          <w:lang w:eastAsia="pl-PL"/>
        </w:rPr>
        <w:t>;</w:t>
      </w:r>
    </w:p>
    <w:p w:rsidR="00EE5A1A" w:rsidRPr="004F4BCA" w:rsidP="00EE5A1A">
      <w:pPr>
        <w:numPr>
          <w:ilvl w:val="1"/>
          <w:numId w:val="3"/>
        </w:numPr>
        <w:jc w:val="both"/>
        <w:rPr>
          <w:lang w:eastAsia="pl-PL"/>
        </w:rPr>
      </w:pPr>
      <w:r w:rsidRPr="004F4BCA">
        <w:rPr>
          <w:lang w:eastAsia="pl-PL"/>
        </w:rPr>
        <w:t>wypełniania obowiązku prawnego ciążącego na Administratorze w związku z realizowaniem zadań przez Łódzki Urząd Wojewódzki w Łodzi na podstawie art. 6 ust. 1 lit. c Rozporządzenia;</w:t>
      </w:r>
    </w:p>
    <w:p w:rsidR="00EE5A1A" w:rsidRPr="004F4BCA" w:rsidP="00EE5A1A">
      <w:pPr>
        <w:numPr>
          <w:ilvl w:val="1"/>
          <w:numId w:val="3"/>
        </w:numPr>
        <w:jc w:val="both"/>
        <w:rPr>
          <w:lang w:eastAsia="pl-PL"/>
        </w:rPr>
      </w:pPr>
      <w:r w:rsidRPr="004F4BCA">
        <w:rPr>
          <w:lang w:eastAsia="pl-PL"/>
        </w:rPr>
        <w:t>wykonywania zadania realizowanego w interesie publicznym lub w ramach sprawowania władzy publicznej powierzonej Administratorowi w związku z realizowaniem zadań przez Łódzki Urząd Wojewódzki w Łodzi na podstawie art. 6 ust. 1 lit. e Rozporządzenia;</w:t>
      </w:r>
    </w:p>
    <w:p w:rsidR="00EE5A1A" w:rsidRPr="004F4BCA" w:rsidP="00EE5A1A">
      <w:pPr>
        <w:numPr>
          <w:ilvl w:val="0"/>
          <w:numId w:val="3"/>
        </w:numPr>
        <w:jc w:val="both"/>
        <w:rPr>
          <w:lang w:eastAsia="pl-PL"/>
        </w:rPr>
      </w:pPr>
      <w:r w:rsidRPr="004F4BCA">
        <w:rPr>
          <w:lang w:eastAsia="pl-PL"/>
        </w:rPr>
        <w:t>W związku z przetwarzaniem danych w celu wskazanym powyżej Pani/Pana dane osobowe mogą być udostępniane innym odbiorcom lub kategoriom odbiorców danych osobowych. Odbiorcami Pani/Pana danych mogą być:</w:t>
      </w:r>
    </w:p>
    <w:p w:rsidR="00EE5A1A" w:rsidRPr="004F4BCA" w:rsidP="00EE5A1A">
      <w:pPr>
        <w:numPr>
          <w:ilvl w:val="1"/>
          <w:numId w:val="3"/>
        </w:numPr>
        <w:jc w:val="both"/>
        <w:rPr>
          <w:lang w:eastAsia="pl-PL"/>
        </w:rPr>
      </w:pPr>
      <w:r w:rsidRPr="004F4BCA">
        <w:rPr>
          <w:lang w:eastAsia="pl-PL"/>
        </w:rPr>
        <w:t>inne podmioty upoważnione do odbioru Pani/Pana danych osobowych na podstawie odpowiednich przepisów prawa;</w:t>
      </w:r>
    </w:p>
    <w:p w:rsidR="00EE5A1A" w:rsidRPr="004F4BCA" w:rsidP="00EE5A1A">
      <w:pPr>
        <w:numPr>
          <w:ilvl w:val="1"/>
          <w:numId w:val="3"/>
        </w:numPr>
        <w:jc w:val="both"/>
        <w:rPr>
          <w:lang w:eastAsia="pl-PL"/>
        </w:rPr>
      </w:pPr>
      <w:r w:rsidRPr="004F4BCA">
        <w:rPr>
          <w:lang w:eastAsia="pl-PL"/>
        </w:rPr>
        <w:t>inne podmioty, które przetwarzają Pani/Pana dane osobowe w imieniu Administratora na podstawie zawartej umowy powierzenia przetwarzania danych osobowych (tzw. podmioty przetwarzające).</w:t>
      </w:r>
    </w:p>
    <w:p w:rsidR="00EE5A1A" w:rsidRPr="004F4BCA" w:rsidP="00EE5A1A">
      <w:pPr>
        <w:numPr>
          <w:ilvl w:val="0"/>
          <w:numId w:val="3"/>
        </w:numPr>
        <w:jc w:val="both"/>
        <w:rPr>
          <w:lang w:eastAsia="pl-PL"/>
        </w:rPr>
      </w:pPr>
      <w:r w:rsidRPr="004F4BCA">
        <w:rPr>
          <w:lang w:eastAsia="pl-PL"/>
        </w:rPr>
        <w:t>Pani/Pana dane osobowe będą przetwarzana przez okres niezbędny do realizacji wskazanego w pkt III celu przetwarzania, w tym również obowiązku archiwizacyjnego wynikającego z przepisów prawa.</w:t>
      </w:r>
    </w:p>
    <w:p w:rsidR="00EE5A1A" w:rsidRPr="004F4BCA" w:rsidP="00EE5A1A">
      <w:pPr>
        <w:numPr>
          <w:ilvl w:val="0"/>
          <w:numId w:val="3"/>
        </w:numPr>
        <w:jc w:val="both"/>
        <w:rPr>
          <w:lang w:eastAsia="pl-PL"/>
        </w:rPr>
      </w:pPr>
      <w:r w:rsidRPr="004F4BCA">
        <w:rPr>
          <w:lang w:eastAsia="pl-PL"/>
        </w:rPr>
        <w:t>W związku z przetwarzaniem przez Administratora danych osobowych przysługuje Pani/Panu:</w:t>
      </w:r>
    </w:p>
    <w:p w:rsidR="00EE5A1A" w:rsidRPr="004F4BCA" w:rsidP="00EE5A1A">
      <w:pPr>
        <w:numPr>
          <w:ilvl w:val="1"/>
          <w:numId w:val="3"/>
        </w:numPr>
        <w:jc w:val="both"/>
        <w:rPr>
          <w:lang w:eastAsia="pl-PL"/>
        </w:rPr>
      </w:pPr>
      <w:r w:rsidRPr="004F4BCA">
        <w:rPr>
          <w:lang w:eastAsia="pl-PL"/>
        </w:rPr>
        <w:t>prawo dostępu do treści danych, na podstawie art. 15 Rozporządzenia;</w:t>
      </w:r>
    </w:p>
    <w:p w:rsidR="00EE5A1A" w:rsidRPr="004F4BCA" w:rsidP="00EE5A1A">
      <w:pPr>
        <w:numPr>
          <w:ilvl w:val="1"/>
          <w:numId w:val="3"/>
        </w:numPr>
        <w:jc w:val="both"/>
        <w:rPr>
          <w:lang w:eastAsia="pl-PL"/>
        </w:rPr>
      </w:pPr>
      <w:r w:rsidRPr="004F4BCA">
        <w:rPr>
          <w:lang w:eastAsia="pl-PL"/>
        </w:rPr>
        <w:t>prawo do sprostowania danych, na podstawie art. 16 Rozporządzenia;</w:t>
      </w:r>
    </w:p>
    <w:p w:rsidR="00EE5A1A" w:rsidRPr="004F4BCA" w:rsidP="00EE5A1A">
      <w:pPr>
        <w:numPr>
          <w:ilvl w:val="1"/>
          <w:numId w:val="3"/>
        </w:numPr>
        <w:jc w:val="both"/>
        <w:rPr>
          <w:lang w:eastAsia="pl-PL"/>
        </w:rPr>
      </w:pPr>
      <w:r w:rsidRPr="004F4BCA">
        <w:rPr>
          <w:lang w:eastAsia="pl-PL"/>
        </w:rPr>
        <w:t>prawo do ograniczenia przetwarzania danych, na podstawie art. 18 Rozporządzenia;</w:t>
      </w:r>
    </w:p>
    <w:p w:rsidR="00EE5A1A" w:rsidRPr="004F4BCA" w:rsidP="00EE5A1A">
      <w:pPr>
        <w:numPr>
          <w:ilvl w:val="1"/>
          <w:numId w:val="3"/>
        </w:numPr>
        <w:jc w:val="both"/>
        <w:rPr>
          <w:lang w:eastAsia="pl-PL"/>
        </w:rPr>
      </w:pPr>
      <w:r w:rsidRPr="004F4BCA">
        <w:rPr>
          <w:lang w:eastAsia="pl-PL"/>
        </w:rPr>
        <w:t>prawo do przenoszenia danych, na podstawie art. 20 Rozporządzenia;</w:t>
      </w:r>
    </w:p>
    <w:p w:rsidR="00EE5A1A" w:rsidRPr="004F4BCA" w:rsidP="00EE5A1A">
      <w:pPr>
        <w:numPr>
          <w:ilvl w:val="1"/>
          <w:numId w:val="3"/>
        </w:numPr>
        <w:jc w:val="both"/>
        <w:rPr>
          <w:lang w:eastAsia="pl-PL"/>
        </w:rPr>
      </w:pPr>
      <w:r w:rsidRPr="004F4BCA">
        <w:rPr>
          <w:lang w:eastAsia="pl-PL"/>
        </w:rPr>
        <w:t>prawo wniesienia sprzeciwu wobec przetwarzania danych, na podstawie art. 21 Rozporządzenia;</w:t>
      </w:r>
    </w:p>
    <w:p w:rsidR="00EE5A1A" w:rsidRPr="004F4BCA" w:rsidP="00EE5A1A">
      <w:pPr>
        <w:ind w:left="993"/>
        <w:jc w:val="both"/>
        <w:rPr>
          <w:lang w:eastAsia="pl-PL"/>
        </w:rPr>
      </w:pPr>
      <w:r w:rsidRPr="004F4BCA">
        <w:rPr>
          <w:lang w:eastAsia="pl-PL"/>
        </w:rPr>
        <w:t>(</w:t>
      </w:r>
      <w:r w:rsidRPr="004F4BCA">
        <w:rPr>
          <w:b/>
          <w:bCs/>
        </w:rPr>
        <w:t>Uwaga</w:t>
      </w:r>
      <w:r w:rsidRPr="004F4BCA">
        <w:t>: realizacja powyższych praw musi być zgodna z przepisami prawa, na podstawie których odbywa się przetwarzanie danych, a także m. in. z zasadami wynikającymi z kodeksu postępowania administracyjnego oraz archiwizacji).</w:t>
      </w:r>
    </w:p>
    <w:p w:rsidR="00EE5A1A" w:rsidRPr="004F4BCA" w:rsidP="00EE5A1A">
      <w:pPr>
        <w:numPr>
          <w:ilvl w:val="0"/>
          <w:numId w:val="3"/>
        </w:numPr>
        <w:jc w:val="both"/>
        <w:rPr>
          <w:lang w:eastAsia="pl-PL"/>
        </w:rPr>
      </w:pPr>
      <w:r w:rsidRPr="004F4BCA">
        <w:rPr>
          <w:lang w:eastAsia="pl-PL"/>
        </w:rPr>
        <w:t xml:space="preserve">Ma Pan/Pani prawo wniesienia skargi do organu nadzorczego, tj.  </w:t>
      </w:r>
      <w:r w:rsidRPr="004F4BCA">
        <w:rPr>
          <w:b/>
          <w:bCs/>
          <w:color w:val="000000"/>
        </w:rPr>
        <w:t>Prezesa Urzędu Ochrony Danych Osobowych, g</w:t>
      </w:r>
      <w:r w:rsidRPr="004F4BCA">
        <w:rPr>
          <w:lang w:eastAsia="pl-PL"/>
        </w:rPr>
        <w:t>dy uzna Pani/Pan, że przetwarzanie danych osobowych Pani/Pana dotyczących narusza przepisy Rozporządzenia.</w:t>
      </w:r>
    </w:p>
    <w:p w:rsidR="00EE5A1A" w:rsidRPr="004F4BCA" w:rsidP="00EE5A1A">
      <w:pPr>
        <w:numPr>
          <w:ilvl w:val="0"/>
          <w:numId w:val="3"/>
        </w:numPr>
        <w:jc w:val="both"/>
        <w:rPr>
          <w:lang w:eastAsia="pl-PL"/>
        </w:rPr>
      </w:pPr>
      <w:r w:rsidRPr="004F4BCA">
        <w:rPr>
          <w:lang w:eastAsia="pl-PL"/>
        </w:rPr>
        <w:t>Podanie przez Pana/Panią danych osobowych jest warunkiem prowadzenia sprawy w Łódzkim Urzędzie Wojewódzkim w Łodzi. Podanie danych wynika z przepisów prawa, tj. z ustawy o wojewodzie i administracji rządowej w województwie oraz innych ustaw dziedzinowych</w:t>
      </w:r>
      <w:r w:rsidRPr="004F4BCA">
        <w:rPr>
          <w:vertAlign w:val="superscript"/>
          <w:lang w:eastAsia="pl-PL"/>
        </w:rPr>
        <w:t>1</w:t>
      </w:r>
      <w:r w:rsidRPr="004F4BCA">
        <w:rPr>
          <w:lang w:eastAsia="pl-PL"/>
        </w:rPr>
        <w:t>.</w:t>
      </w:r>
    </w:p>
    <w:p w:rsidR="00EE5A1A" w:rsidRPr="004F4BCA" w:rsidP="00EE5A1A">
      <w:pPr>
        <w:numPr>
          <w:ilvl w:val="0"/>
          <w:numId w:val="3"/>
        </w:numPr>
        <w:jc w:val="both"/>
        <w:rPr>
          <w:lang w:eastAsia="pl-PL"/>
        </w:rPr>
      </w:pPr>
      <w:r w:rsidRPr="004F4BCA">
        <w:rPr>
          <w:lang w:eastAsia="pl-PL"/>
        </w:rPr>
        <w:t>Pani/Pana dane nie będą przetwarzane w sposób zautomatyzowany w tym również w formie profilowania.</w:t>
      </w:r>
    </w:p>
    <w:p w:rsidR="00EE5A1A" w:rsidP="00EE5A1A">
      <w:pPr>
        <w:tabs>
          <w:tab w:val="center" w:pos="6345"/>
        </w:tabs>
        <w:snapToGrid w:val="0"/>
        <w:ind w:left="4965"/>
        <w:jc w:val="center"/>
        <w:rPr>
          <w:sz w:val="24"/>
          <w:szCs w:val="24"/>
        </w:rPr>
      </w:pPr>
    </w:p>
    <w:p w:rsidR="00EE5A1A" w:rsidP="00EE5A1A">
      <w:pPr>
        <w:pStyle w:val="Tekstpodstawowywcity31"/>
        <w:snapToGrid w:val="0"/>
        <w:spacing w:line="360" w:lineRule="auto"/>
        <w:ind w:left="4815"/>
      </w:pPr>
    </w:p>
    <w:p w:rsidR="00F32B68" w:rsidP="00EE5A1A">
      <w:pPr>
        <w:pStyle w:val="Tekstpodstawowywcity31"/>
        <w:snapToGrid w:val="0"/>
        <w:spacing w:line="360" w:lineRule="auto"/>
        <w:ind w:left="4815"/>
      </w:pPr>
    </w:p>
    <w:sectPr>
      <w:headerReference w:type="default" r:id="rId5"/>
      <w:footerReference w:type="default" r:id="rId6"/>
      <w:headerReference w:type="first" r:id="rId7"/>
      <w:footerReference w:type="first" r:id="rId8"/>
      <w:pgSz w:w="11906" w:h="16838"/>
      <w:pgMar w:top="1650" w:right="1398" w:bottom="949" w:left="1418" w:header="707" w:footer="460" w:gutter="0"/>
      <w:pgNumType w:start="1"/>
      <w:cols w:space="708"/>
      <w:formProt w:val="0"/>
      <w:titlePg/>
      <w:docGrid w:linePitch="360" w:charSpace="819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Liberation Mono"/>
    <w:panose1 w:val="00000400000000000000"/>
    <w:charset w:val="01"/>
    <w:family w:val="roman"/>
    <w:notTrueType/>
    <w:pitch w:val="variable"/>
    <w:sig w:usb0="00002000" w:usb1="00000000" w:usb2="00000000" w:usb3="00000000" w:csb0="00000000" w:csb1="00000000"/>
  </w:font>
  <w:font w:name="Trebuchet MS">
    <w:panose1 w:val="020B0603020202020204"/>
    <w:charset w:val="EE"/>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32B68">
    <w:pPr>
      <w:pStyle w:val="Footer"/>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32B68">
    <w:pPr>
      <w:pStyle w:val="Footer"/>
      <w:jc w:val="center"/>
    </w:pPr>
    <w:r>
      <w:rPr>
        <w:b/>
        <w:sz w:val="14"/>
      </w:rPr>
      <w:t>ŁÓDZKI URZĄD WOJEWÓDZKI W ŁODZI</w:t>
    </w:r>
  </w:p>
  <w:p w:rsidR="00F32B68">
    <w:pPr>
      <w:pStyle w:val="Footer"/>
      <w:jc w:val="center"/>
    </w:pPr>
    <w:r>
      <w:rPr>
        <w:sz w:val="14"/>
      </w:rPr>
      <w:t>90-926 Łódź, ul. Piotrkowska 104, tel.: (+48) 42 664 10 00, fax: (+48) 42 664 10 40Elektroniczna Skrzynka Podawcza ePUAP: /lodzuw/SkrytkaESP</w:t>
    </w:r>
  </w:p>
  <w:p w:rsidR="00F32B68">
    <w:pPr>
      <w:pStyle w:val="Footer"/>
      <w:jc w:val="center"/>
    </w:pPr>
    <w:r>
      <w:fldChar w:fldCharType="begin"/>
    </w:r>
    <w:r>
      <w:instrText xml:space="preserve"> HYPERLINK "http://www.lodzkie.eu/" </w:instrText>
    </w:r>
    <w:r>
      <w:fldChar w:fldCharType="separate"/>
    </w:r>
    <w:r w:rsidR="00EE3187">
      <w:rPr>
        <w:rStyle w:val="czeinternetowe"/>
        <w:sz w:val="14"/>
        <w:szCs w:val="14"/>
      </w:rPr>
      <w:t>https://www.gov.pl/web/uw-lodzki</w:t>
    </w:r>
    <w:r>
      <w:fldChar w:fldCharType="end"/>
    </w:r>
  </w:p>
  <w:p w:rsidR="00F32B68">
    <w:pPr>
      <w:pStyle w:val="Footer"/>
      <w:jc w:val="center"/>
    </w:pPr>
    <w:r>
      <w:rPr>
        <w:sz w:val="14"/>
      </w:rPr>
      <w:t xml:space="preserve">Administratorem danych osobowych jest Wojewoda Łódzki. Dane przetwarzane są w celu realizacji czynności urzędowych. Masz prawo do dostępu, sprostowania, ograniczenia przetwarzania danych. Więcej informacji znajdziesz na stronie </w:t>
    </w:r>
    <w:r>
      <w:fldChar w:fldCharType="begin"/>
    </w:r>
    <w:r>
      <w:instrText xml:space="preserve"> HYPERLINK "http://www.lodzkie.eu/" </w:instrText>
    </w:r>
    <w:r>
      <w:fldChar w:fldCharType="separate"/>
    </w:r>
    <w:r>
      <w:rPr>
        <w:rStyle w:val="czeinternetowe"/>
        <w:sz w:val="14"/>
        <w:szCs w:val="14"/>
      </w:rPr>
      <w:t>https://www.gov.pl/web/uw-lodzki</w:t>
    </w:r>
    <w:r>
      <w:fldChar w:fldCharType="end"/>
    </w:r>
    <w:r>
      <w:rPr>
        <w:sz w:val="14"/>
      </w:rPr>
      <w:t xml:space="preserve"> w zakładce ochrona danych osobowych.</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EC63A1">
      <w:r>
        <w:separator/>
      </w:r>
    </w:p>
  </w:footnote>
  <w:footnote w:type="continuationSeparator" w:id="1">
    <w:p w:rsidR="00EC63A1">
      <w:r>
        <w:continuationSeparator/>
      </w:r>
    </w:p>
  </w:footnote>
  <w:footnote w:id="2">
    <w:p w:rsidR="00EE5A1A" w:rsidRPr="0069597C" w:rsidP="00EE5A1A">
      <w:pPr>
        <w:pStyle w:val="FootnoteText"/>
        <w:jc w:val="both"/>
      </w:pPr>
      <w:r>
        <w:rPr>
          <w:rStyle w:val="Znakiprzypiswdolnych"/>
        </w:rPr>
        <w:footnoteRef/>
      </w:r>
      <w:r>
        <w:rPr>
          <w:rFonts w:ascii="Verdana" w:hAnsi="Verdana" w:cs="Verdana"/>
          <w:sz w:val="17"/>
          <w:szCs w:val="17"/>
        </w:rPr>
        <w:t xml:space="preserve"> </w:t>
      </w:r>
      <w:r w:rsidRPr="0069597C">
        <w:t>Ustawa o planowaniu i zagospodarowaniu  przestrzennym z dnia 27 marca 2003 r.</w:t>
      </w:r>
    </w:p>
    <w:p w:rsidR="00EE5A1A" w:rsidRPr="0069597C" w:rsidP="00EE5A1A">
      <w:pPr>
        <w:ind w:firstLine="142"/>
        <w:jc w:val="both"/>
      </w:pPr>
      <w:r w:rsidRPr="0069597C">
        <w:t>Ustawa o transporcie kolejowym z dnia 28 marca 2003 r.</w:t>
      </w:r>
    </w:p>
    <w:p w:rsidR="00EE5A1A" w:rsidRPr="0069597C" w:rsidP="00EE5A1A">
      <w:pPr>
        <w:ind w:left="142"/>
        <w:jc w:val="both"/>
      </w:pPr>
      <w:r w:rsidRPr="0069597C">
        <w:t xml:space="preserve">Ustawa o inwestycjach w zakresie terminalu regazyfikacyjnego skroplonego gazu ziemnego w Świnoujściu z dnia 24 kwietnia 2009 r. </w:t>
      </w:r>
    </w:p>
    <w:p w:rsidR="00EE5A1A" w:rsidRPr="0069597C" w:rsidP="00EE5A1A">
      <w:pPr>
        <w:ind w:left="142"/>
        <w:jc w:val="both"/>
      </w:pPr>
      <w:r w:rsidRPr="0069597C">
        <w:t>Ustawa o przygotowaniu i realizacji strategicznych inwestycji w sektorze naftowym z dnia 22 lutego 2019 r.</w:t>
      </w:r>
    </w:p>
    <w:p w:rsidR="00EE5A1A" w:rsidRPr="0069597C" w:rsidP="00EE5A1A">
      <w:pPr>
        <w:ind w:firstLine="142"/>
        <w:jc w:val="both"/>
      </w:pPr>
      <w:r w:rsidRPr="0069597C">
        <w:t>Ustawa o wspieraniu rozwoju usług i sieci telekomunikacyjnych z dnia 7 maja 2010 r.</w:t>
      </w:r>
    </w:p>
    <w:p w:rsidR="00EE5A1A" w:rsidRPr="0069597C" w:rsidP="00EE5A1A">
      <w:pPr>
        <w:ind w:left="142"/>
        <w:jc w:val="both"/>
      </w:pPr>
      <w:r w:rsidRPr="0069597C">
        <w:t>Ustawa o szczególnych zasadach przygotowania i realizacji inwestycji w zakresie dróg publicznych z dnia 10 kwietnia 2003 r.</w:t>
      </w:r>
    </w:p>
    <w:p w:rsidR="00EE5A1A" w:rsidP="00EE5A1A">
      <w:pPr>
        <w:ind w:left="142"/>
        <w:jc w:val="both"/>
      </w:pPr>
      <w:r w:rsidRPr="0069597C">
        <w:t>Kodeks postępowania administracyjnego z dnia 14 czerwca 1960 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32B68">
    <w:pPr>
      <w:spacing w:line="360" w:lineRule="auto"/>
      <w:ind w:right="11"/>
      <w:rPr>
        <w:b/>
        <w:bCs/>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32B68">
    <w:pPr>
      <w:ind w:right="5160"/>
      <w:jc w:val="center"/>
    </w:pPr>
    <w:r>
      <w:rPr>
        <w:b/>
        <w:bCs/>
        <w:sz w:val="24"/>
        <w:szCs w:val="24"/>
        <w:lang w:eastAsia="pl-PL"/>
      </w:rPr>
      <w:t>ŁÓDZKI URZĄD WOJEWÓDZKI</w:t>
    </w:r>
    <w:r>
      <w:rPr>
        <w:b/>
        <w:bCs/>
        <w:sz w:val="24"/>
        <w:szCs w:val="24"/>
        <w:lang w:eastAsia="pl-PL"/>
      </w:rPr>
      <w:br/>
      <w:t>W ŁODZI</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5BAD5630"/>
    <w:multiLevelType w:val="multilevel"/>
    <w:tmpl w:val="6D06D658"/>
    <w:lvl w:ilvl="0">
      <w:start w:val="1"/>
      <w:numFmt w:val="upperRoman"/>
      <w:lvlText w:val="%1."/>
      <w:lvlJc w:val="right"/>
      <w:pPr>
        <w:tabs>
          <w:tab w:val="num" w:pos="720"/>
        </w:tabs>
        <w:ind w:left="720" w:hanging="360"/>
      </w:pPr>
    </w:lvl>
    <w:lvl w:ilvl="1">
      <w:start w:val="1"/>
      <w:numFmt w:val="lowerLetter"/>
      <w:lvlText w:val="%2."/>
      <w:lvlJc w:val="right"/>
      <w:pPr>
        <w:tabs>
          <w:tab w:val="num" w:pos="1440"/>
        </w:tabs>
        <w:ind w:left="1440" w:hanging="360"/>
      </w:pPr>
    </w:lvl>
    <w:lvl w:ilvl="2">
      <w:start w:val="1"/>
      <w:numFmt w:val="upperRoman"/>
      <w:lvlText w:val="%3."/>
      <w:lvlJc w:val="right"/>
      <w:pPr>
        <w:tabs>
          <w:tab w:val="num" w:pos="2160"/>
        </w:tabs>
        <w:ind w:left="2160" w:hanging="360"/>
      </w:pPr>
    </w:lvl>
    <w:lvl w:ilvl="3">
      <w:start w:val="1"/>
      <w:numFmt w:val="upperRoman"/>
      <w:lvlText w:val="%4."/>
      <w:lvlJc w:val="right"/>
      <w:pPr>
        <w:tabs>
          <w:tab w:val="num" w:pos="2880"/>
        </w:tabs>
        <w:ind w:left="2880" w:hanging="360"/>
      </w:pPr>
    </w:lvl>
    <w:lvl w:ilvl="4">
      <w:start w:val="1"/>
      <w:numFmt w:val="upperRoman"/>
      <w:lvlText w:val="%5."/>
      <w:lvlJc w:val="right"/>
      <w:pPr>
        <w:tabs>
          <w:tab w:val="num" w:pos="3600"/>
        </w:tabs>
        <w:ind w:left="3600" w:hanging="360"/>
      </w:pPr>
    </w:lvl>
    <w:lvl w:ilvl="5">
      <w:start w:val="1"/>
      <w:numFmt w:val="upperRoman"/>
      <w:lvlText w:val="%6."/>
      <w:lvlJc w:val="right"/>
      <w:pPr>
        <w:tabs>
          <w:tab w:val="num" w:pos="4320"/>
        </w:tabs>
        <w:ind w:left="4320" w:hanging="360"/>
      </w:pPr>
    </w:lvl>
    <w:lvl w:ilvl="6">
      <w:start w:val="1"/>
      <w:numFmt w:val="upperRoman"/>
      <w:lvlText w:val="%7."/>
      <w:lvlJc w:val="right"/>
      <w:pPr>
        <w:tabs>
          <w:tab w:val="num" w:pos="5040"/>
        </w:tabs>
        <w:ind w:left="5040" w:hanging="360"/>
      </w:pPr>
    </w:lvl>
    <w:lvl w:ilvl="7">
      <w:start w:val="1"/>
      <w:numFmt w:val="upperRoman"/>
      <w:lvlText w:val="%8."/>
      <w:lvlJc w:val="right"/>
      <w:pPr>
        <w:tabs>
          <w:tab w:val="num" w:pos="5760"/>
        </w:tabs>
        <w:ind w:left="5760" w:hanging="360"/>
      </w:pPr>
    </w:lvl>
    <w:lvl w:ilvl="8">
      <w:start w:val="1"/>
      <w:numFmt w:val="upperRoman"/>
      <w:lvlText w:val="%9."/>
      <w:lvlJc w:val="right"/>
      <w:pPr>
        <w:tabs>
          <w:tab w:val="num" w:pos="6480"/>
        </w:tabs>
        <w:ind w:left="6480" w:hanging="360"/>
      </w:pPr>
    </w:lvl>
  </w:abstractNum>
  <w:abstractNum w:abstractNumId="1">
    <w:nsid w:val="6F8B67EF"/>
    <w:multiLevelType w:val="multilevel"/>
    <w:tmpl w:val="070228F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73294222"/>
    <w:multiLevelType w:val="multilevel"/>
    <w:tmpl w:val="849E1BE4"/>
    <w:lvl w:ilvl="0">
      <w:start w:val="1"/>
      <w:numFmt w:val="decimal"/>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
    <w:nsid w:val="78BE6C91"/>
    <w:multiLevelType w:val="multilevel"/>
    <w:tmpl w:val="7068B188"/>
    <w:lvl w:ilvl="0">
      <w:start w:val="1"/>
      <w:numFmt w:val="none"/>
      <w:pStyle w:val="Heading1"/>
      <w:suff w:val="nothing"/>
      <w:lvlJc w:val="left"/>
      <w:pPr>
        <w:tabs>
          <w:tab w:val="num" w:pos="0"/>
        </w:tabs>
        <w:ind w:left="0" w:firstLine="0"/>
      </w:pPr>
    </w:lvl>
    <w:lvl w:ilvl="1">
      <w:start w:val="1"/>
      <w:numFmt w:val="none"/>
      <w:pStyle w:val="Heading2"/>
      <w:suff w:val="nothing"/>
      <w:lvlJc w:val="left"/>
      <w:pPr>
        <w:tabs>
          <w:tab w:val="num" w:pos="0"/>
        </w:tabs>
        <w:ind w:left="0" w:firstLine="0"/>
      </w:pPr>
    </w:lvl>
    <w:lvl w:ilvl="2">
      <w:start w:val="1"/>
      <w:numFmt w:val="none"/>
      <w:pStyle w:val="Heading3"/>
      <w:suff w:val="nothing"/>
      <w:lvlJc w:val="left"/>
      <w:pPr>
        <w:tabs>
          <w:tab w:val="num" w:pos="0"/>
        </w:tabs>
        <w:ind w:left="0" w:firstLine="0"/>
      </w:pPr>
    </w:lvl>
    <w:lvl w:ilvl="3">
      <w:start w:val="1"/>
      <w:numFmt w:val="none"/>
      <w:pStyle w:val="Heading4"/>
      <w:suff w:val="nothing"/>
      <w:lvlJc w:val="left"/>
      <w:pPr>
        <w:tabs>
          <w:tab w:val="num" w:pos="0"/>
        </w:tabs>
        <w:ind w:left="0" w:firstLine="0"/>
      </w:pPr>
    </w:lvl>
    <w:lvl w:ilvl="4">
      <w:start w:val="1"/>
      <w:numFmt w:val="none"/>
      <w:pStyle w:val="Heading5"/>
      <w:suff w:val="nothing"/>
      <w:lvlJc w:val="left"/>
      <w:pPr>
        <w:tabs>
          <w:tab w:val="num" w:pos="0"/>
        </w:tabs>
        <w:ind w:left="0" w:firstLine="0"/>
      </w:pPr>
    </w:lvl>
    <w:lvl w:ilvl="5">
      <w:start w:val="1"/>
      <w:numFmt w:val="none"/>
      <w:pStyle w:val="Heading6"/>
      <w:suff w:val="nothing"/>
      <w:lvlJc w:val="left"/>
      <w:pPr>
        <w:tabs>
          <w:tab w:val="num" w:pos="0"/>
        </w:tabs>
        <w:ind w:left="0" w:firstLine="0"/>
      </w:pPr>
    </w:lvl>
    <w:lvl w:ilvl="6">
      <w:start w:val="1"/>
      <w:numFmt w:val="none"/>
      <w:pStyle w:val="Heading7"/>
      <w:suff w:val="nothing"/>
      <w:lvlJc w:val="left"/>
      <w:pPr>
        <w:tabs>
          <w:tab w:val="num" w:pos="0"/>
        </w:tabs>
        <w:ind w:left="0" w:firstLine="0"/>
      </w:pPr>
    </w:lvl>
    <w:lvl w:ilvl="7">
      <w:start w:val="1"/>
      <w:numFmt w:val="none"/>
      <w:pStyle w:val="Heading8"/>
      <w:suff w:val="nothing"/>
      <w:lvlJc w:val="left"/>
      <w:pPr>
        <w:tabs>
          <w:tab w:val="num" w:pos="0"/>
        </w:tabs>
        <w:ind w:left="0" w:firstLine="0"/>
      </w:pPr>
    </w:lvl>
    <w:lvl w:ilvl="8">
      <w:start w:val="1"/>
      <w:numFmt w:val="none"/>
      <w:pStyle w:val="Heading9"/>
      <w:suff w:val="nothing"/>
      <w:lvlJc w:val="left"/>
      <w:pPr>
        <w:tabs>
          <w:tab w:val="num" w:pos="0"/>
        </w:tabs>
        <w:ind w:left="0" w:firstLine="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isplayBackgroundShape/>
  <w:embedSystemFonts/>
  <w:defaultTabStop w:val="709"/>
  <w:hyphenationZone w:val="425"/>
  <w:characterSpacingControl w:val="doNotCompress"/>
  <w:footnotePr>
    <w:footnote w:id="0"/>
    <w:footnote w:id="1"/>
  </w:foot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mathPr>
  <w:themeFontLang w:val="pl-PL"/>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kern w:val="2"/>
      <w:lang w:eastAsia="zh-CN"/>
    </w:rPr>
  </w:style>
  <w:style w:type="paragraph" w:styleId="Heading1">
    <w:name w:val="heading 1"/>
    <w:basedOn w:val="Normal"/>
    <w:next w:val="Normal"/>
    <w:qFormat/>
    <w:pPr>
      <w:keepNext/>
      <w:widowControl w:val="0"/>
      <w:numPr>
        <w:numId w:val="1"/>
      </w:numPr>
      <w:tabs>
        <w:tab w:val="center" w:pos="1588"/>
      </w:tabs>
      <w:ind w:left="4536"/>
      <w:jc w:val="center"/>
      <w:outlineLvl w:val="0"/>
    </w:pPr>
    <w:rPr>
      <w:rFonts w:ascii="Georgia" w:hAnsi="Georgia" w:cs="Georgia"/>
      <w:sz w:val="28"/>
    </w:rPr>
  </w:style>
  <w:style w:type="paragraph" w:styleId="Heading2">
    <w:name w:val="heading 2"/>
    <w:basedOn w:val="Normal"/>
    <w:next w:val="Normal"/>
    <w:qFormat/>
    <w:pPr>
      <w:keepNext/>
      <w:numPr>
        <w:ilvl w:val="1"/>
        <w:numId w:val="1"/>
      </w:numPr>
      <w:outlineLvl w:val="1"/>
    </w:pPr>
    <w:rPr>
      <w:b/>
      <w:sz w:val="28"/>
    </w:rPr>
  </w:style>
  <w:style w:type="paragraph" w:styleId="Heading3">
    <w:name w:val="heading 3"/>
    <w:basedOn w:val="Normal"/>
    <w:next w:val="Normal"/>
    <w:qFormat/>
    <w:pPr>
      <w:keepNext/>
      <w:numPr>
        <w:ilvl w:val="2"/>
        <w:numId w:val="1"/>
      </w:numPr>
      <w:ind w:left="3969"/>
      <w:outlineLvl w:val="2"/>
    </w:pPr>
    <w:rPr>
      <w:b/>
      <w:sz w:val="28"/>
    </w:rPr>
  </w:style>
  <w:style w:type="paragraph" w:styleId="Heading4">
    <w:name w:val="heading 4"/>
    <w:basedOn w:val="Normal"/>
    <w:next w:val="Normal"/>
    <w:qFormat/>
    <w:pPr>
      <w:keepNext/>
      <w:numPr>
        <w:ilvl w:val="3"/>
        <w:numId w:val="1"/>
      </w:numPr>
      <w:ind w:left="3969"/>
      <w:outlineLvl w:val="3"/>
    </w:pPr>
    <w:rPr>
      <w:rFonts w:ascii="Georgia" w:hAnsi="Georgia" w:cs="Georgia"/>
      <w:b/>
      <w:i/>
      <w:sz w:val="28"/>
    </w:rPr>
  </w:style>
  <w:style w:type="paragraph" w:styleId="Heading5">
    <w:name w:val="heading 5"/>
    <w:basedOn w:val="Normal"/>
    <w:next w:val="Normal"/>
    <w:qFormat/>
    <w:pPr>
      <w:keepNext/>
      <w:numPr>
        <w:ilvl w:val="4"/>
        <w:numId w:val="1"/>
      </w:numPr>
      <w:jc w:val="both"/>
      <w:outlineLvl w:val="4"/>
    </w:pPr>
    <w:rPr>
      <w:rFonts w:ascii="Georgia" w:hAnsi="Georgia" w:cs="Georgia"/>
      <w:sz w:val="30"/>
    </w:rPr>
  </w:style>
  <w:style w:type="paragraph" w:styleId="Heading6">
    <w:name w:val="heading 6"/>
    <w:basedOn w:val="Normal"/>
    <w:next w:val="Normal"/>
    <w:qFormat/>
    <w:pPr>
      <w:keepNext/>
      <w:numPr>
        <w:ilvl w:val="5"/>
        <w:numId w:val="1"/>
      </w:numPr>
      <w:jc w:val="both"/>
      <w:outlineLvl w:val="5"/>
    </w:pPr>
    <w:rPr>
      <w:rFonts w:ascii="Georgia" w:hAnsi="Georgia" w:cs="Georgia"/>
      <w:b/>
      <w:sz w:val="30"/>
    </w:rPr>
  </w:style>
  <w:style w:type="paragraph" w:styleId="Heading7">
    <w:name w:val="heading 7"/>
    <w:basedOn w:val="Normal"/>
    <w:next w:val="Normal"/>
    <w:qFormat/>
    <w:pPr>
      <w:keepNext/>
      <w:numPr>
        <w:ilvl w:val="6"/>
        <w:numId w:val="1"/>
      </w:numPr>
      <w:jc w:val="both"/>
      <w:outlineLvl w:val="6"/>
    </w:pPr>
    <w:rPr>
      <w:rFonts w:ascii="Georgia" w:hAnsi="Georgia" w:cs="Georgia"/>
      <w:b/>
      <w:i/>
      <w:sz w:val="30"/>
    </w:rPr>
  </w:style>
  <w:style w:type="paragraph" w:styleId="Heading8">
    <w:name w:val="heading 8"/>
    <w:basedOn w:val="Normal"/>
    <w:next w:val="Normal"/>
    <w:qFormat/>
    <w:pPr>
      <w:keepNext/>
      <w:numPr>
        <w:ilvl w:val="7"/>
        <w:numId w:val="1"/>
      </w:numPr>
      <w:ind w:left="5664"/>
      <w:outlineLvl w:val="7"/>
    </w:pPr>
    <w:rPr>
      <w:sz w:val="24"/>
    </w:rPr>
  </w:style>
  <w:style w:type="paragraph" w:styleId="Heading9">
    <w:name w:val="heading 9"/>
    <w:basedOn w:val="Normal"/>
    <w:next w:val="Normal"/>
    <w:qFormat/>
    <w:pPr>
      <w:keepNext/>
      <w:numPr>
        <w:ilvl w:val="8"/>
        <w:numId w:val="1"/>
      </w:numPr>
      <w:ind w:left="2694"/>
      <w:jc w:val="both"/>
      <w:outlineLvl w:val="8"/>
    </w:pPr>
    <w:rPr>
      <w:rFonts w:ascii="Georgia" w:hAnsi="Georgia" w:cs="Georgia"/>
      <w:b/>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Domylnaczcionkaakapitu5">
    <w:name w:val="Domyślna czcionka akapitu5"/>
    <w:qFormat/>
  </w:style>
  <w:style w:type="character" w:customStyle="1" w:styleId="Domylnaczcionkaakapitu4">
    <w:name w:val="Domyślna czcionka akapitu4"/>
    <w:qFormat/>
  </w:style>
  <w:style w:type="character" w:customStyle="1" w:styleId="Domylnaczcionkaakapitu3">
    <w:name w:val="Domyślna czcionka akapitu3"/>
    <w:qFormat/>
  </w:style>
  <w:style w:type="character" w:customStyle="1" w:styleId="Domylnaczcionkaakapitu2">
    <w:name w:val="Domyślna czcionka akapitu2"/>
    <w:qFormat/>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WW-Absatz-Standardschriftart111">
    <w:name w:val="WW-Absatz-Standardschriftart111"/>
    <w:qFormat/>
  </w:style>
  <w:style w:type="character" w:customStyle="1" w:styleId="WW-Absatz-Standardschriftart1111">
    <w:name w:val="WW-Absatz-Standardschriftart1111"/>
    <w:qFormat/>
  </w:style>
  <w:style w:type="character" w:customStyle="1" w:styleId="WW-Absatz-Standardschriftart11111">
    <w:name w:val="WW-Absatz-Standardschriftart11111"/>
    <w:qFormat/>
  </w:style>
  <w:style w:type="character" w:customStyle="1" w:styleId="WW-Absatz-Standardschriftart111111">
    <w:name w:val="WW-Absatz-Standardschriftart111111"/>
    <w:qFormat/>
  </w:style>
  <w:style w:type="character" w:customStyle="1" w:styleId="Domylnaczcionkaakapitu1">
    <w:name w:val="Domyślna czcionka akapitu1"/>
    <w:qFormat/>
  </w:style>
  <w:style w:type="character" w:customStyle="1" w:styleId="czeinternetowe">
    <w:name w:val="Łącze internetowe"/>
    <w:rsid w:val="007C03CE"/>
    <w:rPr>
      <w:color w:val="000080"/>
      <w:u w:val="single"/>
    </w:rPr>
  </w:style>
  <w:style w:type="character" w:customStyle="1" w:styleId="NagwekZnak">
    <w:name w:val="Nagłówek Znak"/>
    <w:qFormat/>
    <w:rPr>
      <w:rFonts w:ascii="Arial" w:eastAsia="Lucida Sans Unicode" w:hAnsi="Arial" w:cs="Tahoma"/>
      <w:kern w:val="2"/>
      <w:sz w:val="28"/>
      <w:szCs w:val="28"/>
    </w:rPr>
  </w:style>
  <w:style w:type="character" w:customStyle="1" w:styleId="TekstpodstawowyZnak">
    <w:name w:val="Tekst podstawowy Znak"/>
    <w:qFormat/>
    <w:rPr>
      <w:rFonts w:ascii="Georgia" w:hAnsi="Georgia" w:cs="Georgia"/>
      <w:i/>
      <w:kern w:val="2"/>
      <w:sz w:val="28"/>
    </w:rPr>
  </w:style>
  <w:style w:type="character" w:customStyle="1" w:styleId="StopkaZnak">
    <w:name w:val="Stopka Znak"/>
    <w:qFormat/>
    <w:rPr>
      <w:kern w:val="2"/>
    </w:rPr>
  </w:style>
  <w:style w:type="paragraph" w:styleId="Header">
    <w:name w:val="header"/>
    <w:basedOn w:val="Normal"/>
    <w:next w:val="BodyText"/>
    <w:pPr>
      <w:keepNext/>
      <w:spacing w:before="240" w:after="120"/>
    </w:pPr>
    <w:rPr>
      <w:rFonts w:ascii="Arial" w:eastAsia="Lucida Sans Unicode" w:hAnsi="Arial" w:cs="Tahoma"/>
      <w:sz w:val="28"/>
      <w:szCs w:val="28"/>
    </w:rPr>
  </w:style>
  <w:style w:type="paragraph" w:styleId="BodyText">
    <w:name w:val="Body Text"/>
    <w:basedOn w:val="Normal"/>
    <w:rPr>
      <w:rFonts w:ascii="Georgia" w:hAnsi="Georgia" w:cs="Georgia"/>
      <w:i/>
      <w:sz w:val="28"/>
    </w:rPr>
  </w:style>
  <w:style w:type="paragraph" w:styleId="List">
    <w:name w:val="List"/>
    <w:basedOn w:val="BodyText"/>
    <w:rPr>
      <w:rFonts w:cs="Tahoma"/>
    </w:rPr>
  </w:style>
  <w:style w:type="paragraph" w:styleId="Caption">
    <w:name w:val="caption"/>
    <w:basedOn w:val="Normal"/>
    <w:qFormat/>
    <w:pPr>
      <w:suppressLineNumbers/>
      <w:spacing w:before="120" w:after="120"/>
    </w:pPr>
    <w:rPr>
      <w:rFonts w:cs="Arial"/>
      <w:i/>
      <w:iCs/>
      <w:sz w:val="24"/>
      <w:szCs w:val="24"/>
    </w:rPr>
  </w:style>
  <w:style w:type="paragraph" w:customStyle="1" w:styleId="Indeks">
    <w:name w:val="Indeks"/>
    <w:basedOn w:val="Normal"/>
    <w:qFormat/>
    <w:pPr>
      <w:suppressLineNumbers/>
    </w:pPr>
    <w:rPr>
      <w:rFonts w:cs="Tahoma"/>
    </w:rPr>
  </w:style>
  <w:style w:type="paragraph" w:customStyle="1" w:styleId="Nagwek5">
    <w:name w:val="Nagłówek5"/>
    <w:basedOn w:val="Normal"/>
    <w:next w:val="BodyText"/>
    <w:qFormat/>
    <w:pPr>
      <w:keepNext/>
      <w:spacing w:before="240" w:after="120"/>
    </w:pPr>
    <w:rPr>
      <w:rFonts w:ascii="Liberation Sans" w:eastAsia="Microsoft YaHei" w:hAnsi="Liberation Sans" w:cs="Arial"/>
      <w:sz w:val="28"/>
      <w:szCs w:val="28"/>
    </w:rPr>
  </w:style>
  <w:style w:type="paragraph" w:customStyle="1" w:styleId="Nagwek4">
    <w:name w:val="Nagłówek4"/>
    <w:basedOn w:val="Normal"/>
    <w:next w:val="BodyText"/>
    <w:qFormat/>
    <w:pPr>
      <w:keepNext/>
      <w:spacing w:before="240" w:after="120"/>
    </w:pPr>
    <w:rPr>
      <w:rFonts w:ascii="Liberation Sans" w:eastAsia="Microsoft YaHei" w:hAnsi="Liberation Sans"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Nagwek3">
    <w:name w:val="Nagłówek3"/>
    <w:basedOn w:val="Normal"/>
    <w:next w:val="BodyText"/>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Nagwek2">
    <w:name w:val="Nagłówek2"/>
    <w:basedOn w:val="Normal"/>
    <w:next w:val="BodyText"/>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Gwkaistopka">
    <w:name w:val="Główka i stopka"/>
    <w:basedOn w:val="Normal"/>
    <w:qFormat/>
  </w:style>
  <w:style w:type="paragraph" w:customStyle="1" w:styleId="Podpis1">
    <w:name w:val="Podpis1"/>
    <w:basedOn w:val="Normal"/>
    <w:qFormat/>
    <w:pPr>
      <w:suppressLineNumbers/>
      <w:spacing w:before="120" w:after="120"/>
    </w:pPr>
    <w:rPr>
      <w:rFonts w:cs="Tahoma"/>
      <w:i/>
      <w:iCs/>
      <w:sz w:val="24"/>
      <w:szCs w:val="24"/>
    </w:rPr>
  </w:style>
  <w:style w:type="paragraph" w:customStyle="1" w:styleId="Nagwek1">
    <w:name w:val="Nagłówek1"/>
    <w:basedOn w:val="Normal"/>
    <w:next w:val="BodyText"/>
    <w:qFormat/>
    <w:pPr>
      <w:keepNext/>
      <w:spacing w:before="240" w:after="120"/>
    </w:pPr>
    <w:rPr>
      <w:rFonts w:ascii="Arial" w:eastAsia="Microsoft YaHei" w:hAnsi="Arial" w:cs="Mangal"/>
      <w:sz w:val="28"/>
      <w:szCs w:val="28"/>
    </w:rPr>
  </w:style>
  <w:style w:type="paragraph" w:styleId="Footer">
    <w:name w:val="footer"/>
    <w:basedOn w:val="Normal"/>
    <w:pPr>
      <w:tabs>
        <w:tab w:val="center" w:pos="4536"/>
        <w:tab w:val="right" w:pos="9072"/>
      </w:tabs>
    </w:pPr>
  </w:style>
  <w:style w:type="paragraph" w:styleId="BodyTextIndent">
    <w:name w:val="Body Text Indent"/>
    <w:basedOn w:val="Normal"/>
    <w:pPr>
      <w:ind w:left="4536"/>
    </w:pPr>
    <w:rPr>
      <w:b/>
      <w:sz w:val="28"/>
    </w:rPr>
  </w:style>
  <w:style w:type="paragraph" w:customStyle="1" w:styleId="Tekstpodstawowy21">
    <w:name w:val="Tekst podstawowy 21"/>
    <w:basedOn w:val="Normal"/>
    <w:qFormat/>
    <w:rPr>
      <w:rFonts w:ascii="Trebuchet MS" w:hAnsi="Trebuchet MS" w:cs="Trebuchet MS"/>
      <w:sz w:val="28"/>
    </w:rPr>
  </w:style>
  <w:style w:type="paragraph" w:customStyle="1" w:styleId="Tekstpodstawowywcity21">
    <w:name w:val="Tekst podstawowy wcięty 21"/>
    <w:basedOn w:val="Normal"/>
    <w:qFormat/>
    <w:pPr>
      <w:ind w:firstLine="708"/>
      <w:jc w:val="both"/>
    </w:pPr>
    <w:rPr>
      <w:rFonts w:ascii="Georgia" w:hAnsi="Georgia" w:cs="Georgia"/>
      <w:i/>
      <w:sz w:val="28"/>
    </w:rPr>
  </w:style>
  <w:style w:type="paragraph" w:customStyle="1" w:styleId="Tekstpodstawowy22">
    <w:name w:val="Tekst podstawowy 22"/>
    <w:basedOn w:val="Normal"/>
    <w:qFormat/>
    <w:pPr>
      <w:widowControl w:val="0"/>
      <w:ind w:right="-1"/>
      <w:jc w:val="both"/>
    </w:pPr>
    <w:rPr>
      <w:sz w:val="28"/>
    </w:rPr>
  </w:style>
  <w:style w:type="paragraph" w:customStyle="1" w:styleId="Tekstpodstawowy31">
    <w:name w:val="Tekst podstawowy 31"/>
    <w:basedOn w:val="Normal"/>
    <w:qFormat/>
    <w:pPr>
      <w:jc w:val="both"/>
    </w:pPr>
    <w:rPr>
      <w:b/>
      <w:i/>
      <w:sz w:val="28"/>
    </w:rPr>
  </w:style>
  <w:style w:type="paragraph" w:customStyle="1" w:styleId="Tekstpodstawowywcity31">
    <w:name w:val="Tekst podstawowy wcięty 31"/>
    <w:basedOn w:val="Normal"/>
    <w:qFormat/>
    <w:pPr>
      <w:ind w:left="4536"/>
    </w:pPr>
    <w:rPr>
      <w:rFonts w:ascii="Arial" w:hAnsi="Arial" w:cs="Arial"/>
      <w:sz w:val="24"/>
    </w:rPr>
  </w:style>
  <w:style w:type="paragraph" w:customStyle="1" w:styleId="Tekstdymka1">
    <w:name w:val="Tekst dymka1"/>
    <w:basedOn w:val="Normal"/>
    <w:qFormat/>
    <w:rPr>
      <w:rFonts w:ascii="Tahoma" w:hAnsi="Tahoma" w:cs="Tahoma"/>
      <w:sz w:val="16"/>
      <w:szCs w:val="16"/>
    </w:rPr>
  </w:style>
  <w:style w:type="paragraph" w:customStyle="1" w:styleId="Zawartoramki">
    <w:name w:val="Zawartość ramki"/>
    <w:basedOn w:val="BodyText"/>
    <w:qFormat/>
  </w:style>
  <w:style w:type="paragraph" w:customStyle="1" w:styleId="Zawartotabeli">
    <w:name w:val="Zawartość tabeli"/>
    <w:basedOn w:val="Normal"/>
    <w:qFormat/>
    <w:pPr>
      <w:suppressLineNumbers/>
    </w:pPr>
  </w:style>
  <w:style w:type="paragraph" w:customStyle="1" w:styleId="Nagwektabeli">
    <w:name w:val="Nagłówek tabeli"/>
    <w:basedOn w:val="Zawartotabeli"/>
    <w:qFormat/>
    <w:pPr>
      <w:jc w:val="center"/>
    </w:pPr>
    <w:rPr>
      <w:b/>
      <w:bCs/>
    </w:rPr>
  </w:style>
  <w:style w:type="paragraph" w:customStyle="1" w:styleId="Cytaty">
    <w:name w:val="Cytaty"/>
    <w:basedOn w:val="Normal"/>
    <w:qFormat/>
    <w:pPr>
      <w:spacing w:after="283"/>
      <w:ind w:left="567" w:right="567"/>
    </w:pPr>
  </w:style>
  <w:style w:type="paragraph" w:styleId="Title">
    <w:name w:val="Title"/>
    <w:basedOn w:val="Nagwek5"/>
    <w:next w:val="BodyText"/>
    <w:qFormat/>
    <w:pPr>
      <w:jc w:val="center"/>
    </w:pPr>
    <w:rPr>
      <w:b/>
      <w:bCs/>
      <w:sz w:val="56"/>
      <w:szCs w:val="56"/>
    </w:rPr>
  </w:style>
  <w:style w:type="paragraph" w:styleId="Subtitle">
    <w:name w:val="Subtitle"/>
    <w:basedOn w:val="Nagwek5"/>
    <w:next w:val="BodyText"/>
    <w:qFormat/>
    <w:pPr>
      <w:spacing w:before="60"/>
      <w:jc w:val="center"/>
    </w:pPr>
    <w:rPr>
      <w:sz w:val="36"/>
      <w:szCs w:val="36"/>
    </w:rPr>
  </w:style>
  <w:style w:type="character" w:customStyle="1" w:styleId="TekstprzypisudolnegoZnak">
    <w:name w:val="Tekst przypisu dolnego Znak"/>
    <w:basedOn w:val="DefaultParagraphFont"/>
    <w:link w:val="FootnoteText"/>
    <w:uiPriority w:val="99"/>
    <w:qFormat/>
    <w:rsid w:val="00EE5A1A"/>
    <w:rPr>
      <w:kern w:val="2"/>
      <w:lang w:eastAsia="zh-CN"/>
    </w:rPr>
  </w:style>
  <w:style w:type="character" w:customStyle="1" w:styleId="Znakiprzypiswdolnych">
    <w:name w:val="Znaki przypisów dolnych"/>
    <w:qFormat/>
    <w:rsid w:val="00EE5A1A"/>
  </w:style>
  <w:style w:type="paragraph" w:styleId="FootnoteText">
    <w:name w:val="footnote text"/>
    <w:basedOn w:val="Normal"/>
    <w:link w:val="TekstprzypisudolnegoZnak"/>
    <w:uiPriority w:val="99"/>
    <w:unhideWhenUsed/>
    <w:rsid w:val="00EE5A1A"/>
  </w:style>
  <w:style w:type="character" w:customStyle="1" w:styleId="TekstprzypisudolnegoZnak1">
    <w:name w:val="Tekst przypisu dolnego Znak1"/>
    <w:basedOn w:val="DefaultParagraphFont"/>
    <w:uiPriority w:val="99"/>
    <w:semiHidden/>
    <w:rsid w:val="00EE5A1A"/>
    <w:rPr>
      <w:kern w:val="2"/>
      <w:lang w:eastAsia="zh-CN"/>
    </w:rPr>
  </w:style>
  <w:style w:type="character" w:customStyle="1" w:styleId="AkapitzlistZnak">
    <w:name w:val="Akapit z listą Znak"/>
    <w:link w:val="ListParagraph"/>
    <w:uiPriority w:val="34"/>
    <w:qFormat/>
    <w:rsid w:val="00664802"/>
    <w:rPr>
      <w:rFonts w:ascii="Arial" w:hAnsi="Arial"/>
      <w:sz w:val="22"/>
      <w:szCs w:val="24"/>
    </w:rPr>
  </w:style>
  <w:style w:type="paragraph" w:styleId="ListParagraph">
    <w:name w:val="List Paragraph"/>
    <w:basedOn w:val="Normal"/>
    <w:link w:val="AkapitzlistZnak"/>
    <w:uiPriority w:val="34"/>
    <w:qFormat/>
    <w:rsid w:val="00664802"/>
    <w:pPr>
      <w:suppressAutoHyphens w:val="0"/>
      <w:ind w:left="720"/>
      <w:contextualSpacing/>
      <w:jc w:val="both"/>
    </w:pPr>
    <w:rPr>
      <w:rFonts w:ascii="Arial" w:hAnsi="Arial"/>
      <w:kern w:val="0"/>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3</Pages>
  <Words>941</Words>
  <Characters>5647</Characters>
  <Application>Microsoft Office Word</Application>
  <DocSecurity>0</DocSecurity>
  <Lines>47</Lines>
  <Paragraphs>13</Paragraphs>
  <ScaleCrop>false</ScaleCrop>
  <HeadingPairs>
    <vt:vector size="2" baseType="variant">
      <vt:variant>
        <vt:lpstr>Tytuł</vt:lpstr>
      </vt:variant>
      <vt:variant>
        <vt:i4>1</vt:i4>
      </vt:variant>
    </vt:vector>
  </HeadingPairs>
  <TitlesOfParts>
    <vt:vector size="1" baseType="lpstr">
      <vt:lpstr>Łódź, dnia 2001 r</vt:lpstr>
    </vt:vector>
  </TitlesOfParts>
  <Company/>
  <LinksUpToDate>false</LinksUpToDate>
  <CharactersWithSpaces>6575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Łódź, dnia 2001 r</dc:title>
  <dc:creator>wanna</dc:creator>
  <cp:lastModifiedBy>Magdalena Gawrysiak</cp:lastModifiedBy>
  <cp:revision>10</cp:revision>
  <cp:lastPrinted>1899-12-31T23:00:00Z</cp:lastPrinted>
  <dcterms:created xsi:type="dcterms:W3CDTF">2023-02-03T13:31:00Z</dcterms:created>
  <dcterms:modified xsi:type="dcterms:W3CDTF">2023-02-06T11:08:00Z</dcterms:modified>
</cp:coreProperties>
</file>