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rFonts w:ascii="Cambria" w:hAnsi="Cambria"/>
          <w:b/>
          <w:b/>
          <w:bCs/>
        </w:rPr>
      </w:pPr>
      <w:r>
        <w:rPr>
          <w:rFonts w:ascii="Cambria" w:hAnsi="Cambria"/>
          <w:b/>
          <w:bCs/>
        </w:rPr>
        <w:t>Załącznik nr 3a do SIWZ – Formularz cenowy - CZĘŚĆ 1</w:t>
      </w:r>
    </w:p>
    <w:tbl>
      <w:tblPr>
        <w:tblW w:w="13650" w:type="dxa"/>
        <w:jc w:val="left"/>
        <w:tblInd w:w="421" w:type="dxa"/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13"/>
        <w:gridCol w:w="2888"/>
        <w:gridCol w:w="850"/>
        <w:gridCol w:w="993"/>
        <w:gridCol w:w="1276"/>
        <w:gridCol w:w="710"/>
        <w:gridCol w:w="1276"/>
        <w:gridCol w:w="1547"/>
        <w:gridCol w:w="1021"/>
        <w:gridCol w:w="1234"/>
        <w:gridCol w:w="1340"/>
      </w:tblGrid>
      <w:tr>
        <w:trPr>
          <w:trHeight w:val="176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5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7</w:t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8</w:t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</w:t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10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11</w:t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Lp.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Nazwa produktu</w:t>
            </w:r>
          </w:p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oraz pozycja w Opisie przedmiotu zamówienia</w:t>
            </w:r>
          </w:p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*</w:t>
            </w:r>
            <w:r>
              <w:rPr>
                <w:rFonts w:ascii="Cambria" w:hAnsi="Cambria"/>
                <w:b/>
                <w:i/>
                <w:sz w:val="18"/>
                <w:szCs w:val="18"/>
              </w:rPr>
              <w:t>Dodatkowo Wykonawca zobowiązany jest wskazać czy oferowany produkt spełnia wymagania wskazane w Opisie przedmiotu zamówienia – Załącznik nr 1a do SIWZ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Jednostka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Cena jednostkowa netto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Stawka VAT</w:t>
            </w:r>
            <w:r>
              <w:rPr>
                <w:rStyle w:val="Zakotwiczenieprzypisudolnego"/>
                <w:rFonts w:ascii="Cambria" w:hAnsi="Cambria"/>
                <w:b/>
                <w:sz w:val="18"/>
                <w:szCs w:val="18"/>
              </w:rPr>
              <w:footnoteReference w:id="2"/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Wartość netto</w:t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Wartość brutto</w:t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Producent</w:t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Model/Symbol</w:t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Czy wybór oferty będzie prowadził do powstania po stronie Zamawiającego obowiązku podatkowego VAT</w:t>
              <w:br/>
              <w:t>(tak/nie)</w:t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Oprogramowanie biurowe MS Office lub równoważne do komputerów i laptopów</w:t>
            </w:r>
          </w:p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1)</w:t>
            </w:r>
          </w:p>
          <w:p>
            <w:pPr>
              <w:pStyle w:val="Standard"/>
              <w:jc w:val="center"/>
              <w:rPr>
                <w:rFonts w:ascii="Cambria" w:hAnsi="Cambria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ascii="Cambria" w:hAnsi="Cambria"/>
                <w:b/>
                <w:i/>
                <w:color w:val="000000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77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Laptop z myszką</w:t>
            </w:r>
          </w:p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2)</w:t>
            </w:r>
          </w:p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color w:val="000000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59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Głośniki</w:t>
            </w:r>
          </w:p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3)</w:t>
            </w:r>
          </w:p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color w:val="000000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 xml:space="preserve">3 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Szafa ładująca dla laptopów</w:t>
            </w:r>
          </w:p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4)</w:t>
            </w:r>
          </w:p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color w:val="000000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Urządzenie wielofunkcyjne</w:t>
            </w:r>
          </w:p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5)</w:t>
            </w:r>
          </w:p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color w:val="000000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Tablica interaktywna  projektorem i oprogramowaniem</w:t>
            </w:r>
          </w:p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6)</w:t>
            </w:r>
          </w:p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Router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7)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0%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Oprogramowanie antywirusowe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8)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jc w:val="center"/>
              <w:rPr/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Spacing"/>
              <w:rPr/>
            </w:pPr>
            <w:r>
              <w:rPr/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rPr/>
            </w:pPr>
            <w:r>
              <w:rPr/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Listwa zasilająca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9)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10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 xml:space="preserve">Rzutnik 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10)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color w:val="auto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color w:val="auto"/>
                <w:sz w:val="18"/>
                <w:szCs w:val="18"/>
              </w:rPr>
              <w:t xml:space="preserve">Rzutnik 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color w:val="auto"/>
                <w:sz w:val="18"/>
                <w:szCs w:val="18"/>
              </w:rPr>
            </w:pPr>
            <w:r>
              <w:rPr>
                <w:rFonts w:ascii="Cambria" w:hAnsi="Cambria"/>
                <w:b/>
                <w:color w:val="auto"/>
                <w:sz w:val="18"/>
                <w:szCs w:val="18"/>
              </w:rPr>
              <w:t>(poz. 11)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color w:val="auto"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color w:val="auto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color w:val="FF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color w:val="auto"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34" w:hanging="10"/>
              <w:jc w:val="center"/>
              <w:rPr>
                <w:rFonts w:ascii="Cambria" w:hAnsi="Cambria" w:cs="Calibri" w:cstheme="minorHAnsi"/>
                <w:color w:val="FF0000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color w:val="auto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 xml:space="preserve">Ekran 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12)</w:t>
            </w:r>
          </w:p>
          <w:p>
            <w:pPr>
              <w:pStyle w:val="NoSpacing"/>
              <w:ind w:left="0" w:hanging="0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Wizualizer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13)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Aparat cyfrowy z dwoma obiektywami torbą i kartą  pamięci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(poz.14)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Aparat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Obiektyw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Obiektyw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Aparat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Obiektyw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Obiektyw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Zestaw komputerowy (stacja z monitorem, słuchawki, klawiatura, mysz)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15)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Stacja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Monitor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Słuchawki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Klawiatura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Mysz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Stacja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Monitor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Słuchawki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Klawiatura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Mysz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…………………</w:t>
            </w:r>
            <w:r>
              <w:rPr>
                <w:rFonts w:ascii="Cambria" w:hAnsi="Cambria"/>
                <w:sz w:val="18"/>
                <w:szCs w:val="18"/>
              </w:rPr>
              <w:t>.</w:t>
            </w:r>
          </w:p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Urządzenie wielofunkcyjne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16)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 xml:space="preserve">Szt.                                       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Kamera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17)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 xml:space="preserve">Ekran 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18)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19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Router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19)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14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20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Szafa ładująca dla laptopów</w:t>
            </w:r>
          </w:p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20)</w:t>
            </w:r>
          </w:p>
          <w:p>
            <w:pPr>
              <w:pStyle w:val="Standard"/>
              <w:jc w:val="center"/>
              <w:rPr>
                <w:rFonts w:ascii="Cambria" w:hAnsi="Cambria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color w:val="000000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21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System zbierania i analizowania odpowiedzi</w:t>
            </w:r>
          </w:p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21)</w:t>
            </w:r>
          </w:p>
          <w:p>
            <w:pPr>
              <w:pStyle w:val="Standard"/>
              <w:jc w:val="center"/>
              <w:rPr>
                <w:rFonts w:ascii="Cambria" w:hAnsi="Cambria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color w:val="000000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22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Tablica interaktywna z projektorem i oprogramowaniem</w:t>
            </w:r>
          </w:p>
          <w:p>
            <w:pPr>
              <w:pStyle w:val="Standard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22)</w:t>
            </w:r>
          </w:p>
          <w:p>
            <w:pPr>
              <w:pStyle w:val="Standard"/>
              <w:jc w:val="center"/>
              <w:rPr>
                <w:rFonts w:ascii="Cambria" w:hAnsi="Cambria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color w:val="000000"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color w:val="000000"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13648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Pozycje podlegające odrębnemu fakturowaniu, przeznaczone dla Urzędu Gminy Gorzkowice</w:t>
            </w:r>
            <w:bookmarkStart w:id="0" w:name="_GoBack"/>
            <w:bookmarkEnd w:id="0"/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23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Zestaw komputerowy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(stacja z monitorem, klawiatura, mysz)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23)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8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24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Oprogramowanie typu MS Office lub równoważne do komputerów i laptopów</w:t>
            </w:r>
          </w:p>
          <w:p>
            <w:pPr>
              <w:pStyle w:val="NoSpacing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24)</w:t>
            </w:r>
          </w:p>
          <w:p>
            <w:pPr>
              <w:pStyle w:val="NoSpacing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8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4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25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 xml:space="preserve">Dysk przenośny 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25)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 xml:space="preserve">Szt.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26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Urządzenie wielofunkcyjne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26)</w:t>
            </w: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 xml:space="preserve"> 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27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Niszczarka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27)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28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Laptop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28)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29" w:hRule="atLeast"/>
        </w:trPr>
        <w:tc>
          <w:tcPr>
            <w:tcW w:w="5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D0CECE" w:themeFill="background2" w:themeFillShade="e6" w:val="clear"/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b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29</w:t>
            </w:r>
          </w:p>
        </w:tc>
        <w:tc>
          <w:tcPr>
            <w:tcW w:w="2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ascii="Cambria" w:hAnsi="Cambria" w:cstheme="minorHAnsi"/>
                <w:b/>
                <w:sz w:val="18"/>
                <w:szCs w:val="18"/>
              </w:rPr>
              <w:t>Drukarka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ascii="Cambria" w:hAnsi="Cambria"/>
                <w:b/>
                <w:sz w:val="18"/>
                <w:szCs w:val="18"/>
              </w:rPr>
              <w:t>(poz. 30)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Calibri" w:cstheme="minorHAnsi" w:ascii="Cambria" w:hAnsi="Cambria"/>
                <w:b/>
                <w:sz w:val="18"/>
                <w:szCs w:val="18"/>
              </w:rPr>
            </w:r>
          </w:p>
          <w:p>
            <w:pPr>
              <w:pStyle w:val="Standard"/>
              <w:jc w:val="center"/>
              <w:rPr>
                <w:rFonts w:ascii="Cambria" w:hAnsi="Cambria" w:eastAsia="Times New Roman" w:cs="Arial"/>
                <w:b/>
                <w:b/>
                <w:i/>
                <w:i/>
                <w:color w:val="000000"/>
                <w:sz w:val="18"/>
                <w:szCs w:val="18"/>
              </w:rPr>
            </w:pPr>
            <w:r>
              <w:rPr>
                <w:rFonts w:eastAsia="Times New Roman" w:cs="Arial" w:ascii="Cambria" w:hAnsi="Cambria"/>
                <w:b/>
                <w:i/>
                <w:color w:val="000000"/>
                <w:sz w:val="18"/>
                <w:szCs w:val="18"/>
              </w:rPr>
              <w:t>Produkt spełnia wymagania</w:t>
            </w:r>
          </w:p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b/>
                <w:b/>
                <w:sz w:val="18"/>
                <w:szCs w:val="18"/>
              </w:rPr>
            </w:pPr>
            <w:r>
              <w:rPr>
                <w:rFonts w:cs="Arial" w:ascii="Cambria" w:hAnsi="Cambria"/>
                <w:b/>
                <w:i/>
                <w:sz w:val="18"/>
                <w:szCs w:val="18"/>
              </w:rPr>
              <w:t>TAK    /    NIE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Spacing"/>
              <w:ind w:left="0" w:hanging="10"/>
              <w:jc w:val="center"/>
              <w:rPr>
                <w:rFonts w:ascii="Cambria" w:hAnsi="Cambria" w:cs="Calibri" w:cstheme="minorHAnsi"/>
                <w:sz w:val="18"/>
                <w:szCs w:val="18"/>
              </w:rPr>
            </w:pPr>
            <w:r>
              <w:rPr>
                <w:rFonts w:cs="Calibri" w:ascii="Cambria" w:hAnsi="Cambria" w:cstheme="minorHAnsi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vAlign w:val="center"/>
          </w:tcPr>
          <w:p>
            <w:pPr>
              <w:pStyle w:val="Standard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23%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0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2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FFFFFF" w:themeFill="background1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Standard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</w:r>
          </w:p>
        </w:tc>
        <w:tc>
          <w:tcPr>
            <w:tcW w:w="13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color="auto" w:fill="auto" w:val="clear"/>
            <w:tcMar>
              <w:left w:w="5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720" w:leader="none"/>
              </w:tabs>
              <w:spacing w:lineRule="auto" w:line="276" w:before="0" w:after="1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spacing w:lineRule="auto" w:line="276"/>
        <w:jc w:val="center"/>
        <w:rPr>
          <w:rFonts w:ascii="Cambria" w:hAnsi="Cambria"/>
          <w:b/>
          <w:b/>
          <w:bCs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</w:rPr>
      </w:r>
    </w:p>
    <w:p>
      <w:pPr>
        <w:pStyle w:val="Normal"/>
        <w:spacing w:lineRule="auto" w:line="276"/>
        <w:jc w:val="center"/>
        <w:rPr>
          <w:rFonts w:ascii="Cambria" w:hAnsi="Cambria"/>
          <w:b/>
          <w:b/>
          <w:bCs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</w:rPr>
        <w:t>Razem brutto (suma wartości wskazanych w kolumnie 8): ………………………………………………………………………………………………………</w:t>
      </w:r>
    </w:p>
    <w:p>
      <w:pPr>
        <w:pStyle w:val="Normal"/>
        <w:spacing w:lineRule="auto" w:line="276"/>
        <w:jc w:val="center"/>
        <w:rPr>
          <w:rFonts w:ascii="Cambria" w:hAnsi="Cambria"/>
          <w:b/>
          <w:b/>
          <w:bCs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</w:rPr>
      </w:r>
    </w:p>
    <w:p>
      <w:pPr>
        <w:pStyle w:val="Standard"/>
        <w:jc w:val="center"/>
        <w:rPr>
          <w:rFonts w:ascii="Cambria" w:hAnsi="Cambria"/>
          <w:b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UWAGA – szczegółowe określenie parametrów, wielkości, itp. znajduje się w Załączniku 1a do SIWZ.</w:t>
      </w:r>
    </w:p>
    <w:p>
      <w:pPr>
        <w:pStyle w:val="Standard"/>
        <w:jc w:val="center"/>
        <w:rPr>
          <w:rFonts w:ascii="Cambria" w:hAnsi="Cambria"/>
          <w:b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</w:r>
    </w:p>
    <w:p>
      <w:pPr>
        <w:pStyle w:val="Standard"/>
        <w:jc w:val="center"/>
        <w:rPr>
          <w:rFonts w:ascii="Cambria" w:hAnsi="Cambria"/>
          <w:b/>
          <w:b/>
          <w:bCs/>
          <w:color w:val="FF0000"/>
          <w:u w:val="single"/>
        </w:rPr>
      </w:pPr>
      <w:r>
        <w:rPr>
          <w:rFonts w:ascii="Cambria" w:hAnsi="Cambria"/>
          <w:b/>
          <w:bCs/>
          <w:color w:val="FF0000"/>
          <w:u w:val="single"/>
        </w:rPr>
        <w:t>UWAGA II – Wykonawca jest zobowiązany podać producenta i model oferowanego przedmiotu. Brak podania producenta lub modelu stanowi podstawę do odrzucenia oferty Wykonawcy</w:t>
      </w:r>
    </w:p>
    <w:p>
      <w:pPr>
        <w:pStyle w:val="Standard"/>
        <w:jc w:val="center"/>
        <w:rPr/>
      </w:pPr>
      <w:r>
        <w:rPr/>
      </w:r>
    </w:p>
    <w:sectPr>
      <w:headerReference w:type="default" r:id="rId2"/>
      <w:footnotePr>
        <w:numFmt w:val="decimal"/>
      </w:footnotePr>
      <w:type w:val="nextPage"/>
      <w:pgSz w:orient="landscape" w:w="16838" w:h="11906"/>
      <w:pgMar w:left="1418" w:right="1418" w:header="709" w:top="1418" w:footer="0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Cambria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widowControl/>
        <w:bidi w:val="0"/>
        <w:spacing w:lineRule="auto" w:line="240" w:before="0" w:after="0"/>
        <w:ind w:left="170" w:right="0" w:hanging="170"/>
        <w:jc w:val="both"/>
        <w:rPr/>
      </w:pPr>
      <w:r>
        <w:rPr>
          <w:rStyle w:val="Znakiprzypiswdolnych"/>
        </w:rPr>
        <w:footnoteRef/>
      </w:r>
      <w:r>
        <w:rPr/>
        <w:tab/>
        <w:t xml:space="preserve"> </w:t>
      </w:r>
      <w:r>
        <w:rPr>
          <w:rFonts w:cs="Arial" w:ascii="Cambria" w:hAnsi="Cambria"/>
          <w:b/>
          <w:bCs/>
          <w:color w:val="000000" w:themeColor="text1"/>
        </w:rPr>
        <w:t>Wszyscy Wykonawcy są zobowiązani do zastosowania stawki VAT wg Formularza cenowego. Jeżeli Wykonawcy nie zgadzają się z zaproponowaną stawką podatku VAT zobowiązani są na podstawie art. 38 ustawy Pzp zwrócić się do Zamawiającego z wnioskiem o wyjaśnienia lub zmianę SIWZ.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tabs>
        <w:tab w:val="clear" w:pos="4536"/>
        <w:tab w:val="clear" w:pos="9072"/>
        <w:tab w:val="left" w:pos="2775" w:leader="none"/>
      </w:tabs>
      <w:jc w:val="center"/>
      <w:rPr/>
    </w:pPr>
    <w:r>
      <w:rPr/>
      <w:drawing>
        <wp:inline distT="0" distB="0" distL="0" distR="0">
          <wp:extent cx="6115050" cy="692150"/>
          <wp:effectExtent l="0" t="0" r="0" b="0"/>
          <wp:docPr id="1" name="Obraz 4" descr="ciag-feprreg-rrp-lodz-ue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ciag-feprreg-rrp-lodz-ueef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692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spacing w:before="0" w:after="160"/>
      <w:jc w:val="center"/>
      <w:rPr/>
    </w:pPr>
    <w:r>
      <w:rPr>
        <w:rFonts w:ascii="Cambria" w:hAnsi="Cambria"/>
        <w:sz w:val="20"/>
        <w:szCs w:val="20"/>
      </w:rPr>
      <w:t>Projekt: „Krok dalej – rozwój edukacji cyfrowej w Gminie Gorzkowice” współfinansowany ze środków Regionalnego Programu Operacyjnego Województwa Łódzkiego na lata 2014-2020, oś Priorytetowa XI - Edukacja Kwalifikacje Umiejętności, Działanie XI.I - Wysoka jakość edukacji</w:t>
    </w:r>
  </w:p>
</w:hdr>
</file>

<file path=word/settings.xml><?xml version="1.0" encoding="utf-8"?>
<w:settings xmlns:w="http://schemas.openxmlformats.org/wordprocessingml/2006/main">
  <w:zoom w:percent="14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ezodstpwZnak" w:customStyle="1">
    <w:name w:val="Bez odstępów Znak"/>
    <w:link w:val="Bezodstpw"/>
    <w:qFormat/>
    <w:rsid w:val="00f7191a"/>
    <w:rPr>
      <w:rFonts w:ascii="Times New Roman" w:hAnsi="Times New Roman" w:eastAsia="Times New Roman" w:cs="Times New Roman"/>
      <w:color w:val="000000"/>
      <w:lang w:eastAsia="pl-PL"/>
    </w:rPr>
  </w:style>
  <w:style w:type="character" w:styleId="TekstkomentarzaZnak" w:customStyle="1">
    <w:name w:val="Tekst komentarza Znak"/>
    <w:basedOn w:val="DefaultParagraphFont"/>
    <w:link w:val="Tekstkomentarza"/>
    <w:uiPriority w:val="99"/>
    <w:qFormat/>
    <w:rsid w:val="00a839ce"/>
    <w:rPr>
      <w:rFonts w:ascii="Calibri" w:hAnsi="Calibri" w:eastAsia="SimSun" w:cs="Times New Roman"/>
      <w:kern w:val="2"/>
      <w:sz w:val="24"/>
      <w:szCs w:val="24"/>
      <w:lang w:eastAsia="pl-PL"/>
    </w:rPr>
  </w:style>
  <w:style w:type="character" w:styleId="Annotationreference">
    <w:name w:val="annotation reference"/>
    <w:basedOn w:val="DefaultParagraphFont"/>
    <w:uiPriority w:val="99"/>
    <w:qFormat/>
    <w:rsid w:val="00a839ce"/>
    <w:rPr>
      <w:sz w:val="18"/>
      <w:szCs w:val="18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a839ce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8f0488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8f0488"/>
    <w:rPr/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547498"/>
    <w:rPr>
      <w:rFonts w:ascii="Calibri" w:hAnsi="Calibri" w:eastAsia="SimSun" w:cs="Times New Roman"/>
      <w:b/>
      <w:bCs/>
      <w:kern w:val="2"/>
      <w:sz w:val="20"/>
      <w:szCs w:val="20"/>
      <w:lang w:eastAsia="pl-PL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semiHidden/>
    <w:qFormat/>
    <w:rsid w:val="00c31b30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c31b30"/>
    <w:rPr>
      <w:vertAlign w:val="superscript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 w:customStyle="1">
    <w:name w:val="Nagłówek"/>
    <w:basedOn w:val="Standard"/>
    <w:next w:val="Normal"/>
    <w:qFormat/>
    <w:rsid w:val="00324b33"/>
    <w:pPr>
      <w:keepNext w:val="true"/>
      <w:tabs>
        <w:tab w:val="clear" w:pos="708"/>
        <w:tab w:val="center" w:pos="4536" w:leader="none"/>
        <w:tab w:val="right" w:pos="9072" w:leader="none"/>
      </w:tabs>
      <w:spacing w:before="240" w:after="0"/>
    </w:pPr>
    <w:rPr>
      <w:rFonts w:ascii="Arial" w:hAnsi="Arial" w:eastAsia="Microsoft YaHei" w:cs="Lucida Sans"/>
      <w:kern w:val="2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link w:val="BezodstpwZnak"/>
    <w:uiPriority w:val="1"/>
    <w:qFormat/>
    <w:rsid w:val="00f7191a"/>
    <w:pPr>
      <w:widowControl/>
      <w:suppressAutoHyphens w:val="true"/>
      <w:bidi w:val="0"/>
      <w:spacing w:lineRule="auto" w:line="240" w:before="0" w:after="0"/>
      <w:ind w:left="190" w:hanging="10"/>
      <w:jc w:val="both"/>
      <w:textAlignment w:val="baseline"/>
    </w:pPr>
    <w:rPr>
      <w:rFonts w:ascii="Times New Roman" w:hAnsi="Times New Roman" w:eastAsia="Times New Roman" w:cs="Times New Roman"/>
      <w:color w:val="000000"/>
      <w:kern w:val="0"/>
      <w:sz w:val="22"/>
      <w:szCs w:val="22"/>
      <w:lang w:eastAsia="pl-PL" w:val="pl-PL" w:bidi="ar-SA"/>
    </w:rPr>
  </w:style>
  <w:style w:type="paragraph" w:styleId="Standard" w:customStyle="1">
    <w:name w:val="Standard"/>
    <w:qFormat/>
    <w:rsid w:val="00f7191a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Times New Roman"/>
      <w:color w:val="auto"/>
      <w:kern w:val="2"/>
      <w:sz w:val="24"/>
      <w:szCs w:val="24"/>
      <w:lang w:eastAsia="pl-PL" w:val="pl-PL" w:bidi="ar-SA"/>
    </w:rPr>
  </w:style>
  <w:style w:type="paragraph" w:styleId="Annotationtext">
    <w:name w:val="annotation text"/>
    <w:basedOn w:val="Standard"/>
    <w:link w:val="TekstkomentarzaZnak"/>
    <w:uiPriority w:val="99"/>
    <w:qFormat/>
    <w:rsid w:val="00a839ce"/>
    <w:pPr>
      <w:spacing w:before="0" w:after="200"/>
    </w:pPr>
    <w:rPr>
      <w:rFonts w:ascii="Calibri" w:hAnsi="Calibri"/>
      <w:kern w:val="2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39c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">
    <w:name w:val="Header"/>
    <w:basedOn w:val="Normal"/>
    <w:link w:val="NagwekZnak"/>
    <w:uiPriority w:val="99"/>
    <w:unhideWhenUsed/>
    <w:rsid w:val="008f048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8f048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47498"/>
    <w:pPr>
      <w:suppressAutoHyphens w:val="false"/>
      <w:spacing w:before="0" w:after="160"/>
      <w:textAlignment w:val="auto"/>
    </w:pPr>
    <w:rPr>
      <w:rFonts w:ascii="Calibri" w:hAnsi="Calibri" w:eastAsia="Calibri" w:cs="" w:asciiTheme="minorHAnsi" w:cstheme="minorBidi" w:eastAsiaTheme="minorHAnsi" w:hAnsiTheme="minorHAnsi"/>
      <w:b/>
      <w:bCs/>
      <w:kern w:val="0"/>
      <w:sz w:val="20"/>
      <w:szCs w:val="20"/>
      <w:lang w:eastAsia="en-US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c31b30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247EE-25AB-4C71-8D1D-B02AC7B8A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Application>LibreOffice/6.2.2.2$Windows_x86 LibreOffice_project/2b840030fec2aae0fd2658d8d4f9548af4e3518d</Application>
  <Pages>6</Pages>
  <Words>677</Words>
  <Characters>3590</Characters>
  <CharactersWithSpaces>4201</CharactersWithSpaces>
  <Paragraphs>297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2019-03-31T18:28:00Z</dcterms:created>
  <dc:creator>Konrad Cichoń</dc:creator>
  <dc:description/>
  <dc:language>pl-PL</dc:language>
  <cp:lastModifiedBy/>
  <dcterms:modified xsi:type="dcterms:W3CDTF">2019-04-16T14:04:09Z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